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22" w:rsidRPr="009556D6" w:rsidRDefault="00742D22" w:rsidP="00742D22">
      <w:pPr>
        <w:spacing w:after="0"/>
        <w:rPr>
          <w:rFonts w:ascii="FlandersArtSans-Regular" w:hAnsi="FlandersArtSans-Regular"/>
        </w:rPr>
      </w:pPr>
      <w:r w:rsidRPr="003F6FA9">
        <w:rPr>
          <w:rFonts w:ascii="Flanders Art Sans Medium" w:hAnsi="Flanders Art Sans Medium"/>
          <w:noProof/>
          <w:lang w:eastAsia="nl-BE"/>
        </w:rPr>
        <w:drawing>
          <wp:inline distT="0" distB="0" distL="0" distR="0" wp14:anchorId="4812E763" wp14:editId="18439915">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rsidR="00742D22" w:rsidRPr="009556D6" w:rsidRDefault="00803EF2" w:rsidP="00742D22">
      <w:pPr>
        <w:spacing w:after="20"/>
        <w:rPr>
          <w:rFonts w:ascii="FlandersArtSans-Medium" w:hAnsi="FlandersArtSans-Medium" w:cs="Calibri"/>
          <w:sz w:val="20"/>
          <w:szCs w:val="20"/>
        </w:rPr>
      </w:pPr>
      <w:r>
        <w:rPr>
          <w:rFonts w:ascii="FlandersArtSans-Medium" w:hAnsi="FlandersArtSans-Medium"/>
          <w:sz w:val="20"/>
          <w:szCs w:val="20"/>
        </w:rPr>
        <w:t>Vlaamse overheid</w:t>
      </w:r>
    </w:p>
    <w:p w:rsidR="00742D22" w:rsidRPr="009556D6" w:rsidRDefault="00126419" w:rsidP="00742D22">
      <w:pPr>
        <w:spacing w:after="20"/>
        <w:rPr>
          <w:rFonts w:ascii="FlandersArtSans-Regular" w:hAnsi="FlandersArtSans-Regular"/>
          <w:sz w:val="20"/>
          <w:szCs w:val="20"/>
        </w:rPr>
      </w:pPr>
      <w:r w:rsidRPr="00126419">
        <w:rPr>
          <w:rFonts w:ascii="FlandersArtSans-Regular" w:hAnsi="FlandersArtSans-Regular"/>
          <w:sz w:val="20"/>
          <w:szCs w:val="20"/>
        </w:rPr>
        <w:t>Koning Albert II-laan 35 bus 40</w:t>
      </w:r>
    </w:p>
    <w:p w:rsidR="00742D22" w:rsidRPr="00126419" w:rsidRDefault="00126419" w:rsidP="00742D22">
      <w:pPr>
        <w:spacing w:after="20"/>
        <w:rPr>
          <w:rFonts w:ascii="FlandersArtSans-Regular" w:hAnsi="FlandersArtSans-Regular"/>
          <w:sz w:val="20"/>
          <w:szCs w:val="20"/>
          <w:lang w:val="fr-BE"/>
        </w:rPr>
      </w:pPr>
      <w:r>
        <w:rPr>
          <w:rFonts w:ascii="FlandersArtSans-Regular" w:hAnsi="FlandersArtSans-Regular"/>
          <w:sz w:val="20"/>
          <w:szCs w:val="20"/>
          <w:lang w:val="fr-BE"/>
        </w:rPr>
        <w:t>103</w:t>
      </w:r>
      <w:r w:rsidR="00742D22" w:rsidRPr="00126419">
        <w:rPr>
          <w:rFonts w:ascii="FlandersArtSans-Regular" w:hAnsi="FlandersArtSans-Regular"/>
          <w:sz w:val="20"/>
          <w:szCs w:val="20"/>
          <w:lang w:val="fr-BE"/>
        </w:rPr>
        <w:t>0 BRUSSEL</w:t>
      </w:r>
    </w:p>
    <w:p w:rsidR="00742D22" w:rsidRPr="00126419" w:rsidRDefault="00742D22" w:rsidP="00742D22">
      <w:pPr>
        <w:spacing w:after="20"/>
        <w:rPr>
          <w:rFonts w:ascii="FlandersArtSans-Regular" w:hAnsi="FlandersArtSans-Regular"/>
          <w:sz w:val="20"/>
          <w:szCs w:val="20"/>
          <w:lang w:val="fr-BE"/>
        </w:rPr>
      </w:pPr>
      <w:r w:rsidRPr="00126419">
        <w:rPr>
          <w:rFonts w:ascii="FlandersArtSans-Bold" w:hAnsi="FlandersArtSans-Bold"/>
          <w:sz w:val="20"/>
          <w:szCs w:val="20"/>
          <w:lang w:val="fr-BE"/>
        </w:rPr>
        <w:t xml:space="preserve">T </w:t>
      </w:r>
      <w:r w:rsidR="00126419" w:rsidRPr="00126419">
        <w:rPr>
          <w:rFonts w:ascii="FlandersArtSans-Regular" w:hAnsi="FlandersArtSans-Regular"/>
          <w:sz w:val="20"/>
          <w:szCs w:val="20"/>
          <w:lang w:val="fr-BE"/>
        </w:rPr>
        <w:t>02 552 77 05</w:t>
      </w:r>
    </w:p>
    <w:p w:rsidR="00742D22" w:rsidRPr="00126419" w:rsidRDefault="00742D22" w:rsidP="00742D22">
      <w:pPr>
        <w:spacing w:after="20"/>
        <w:rPr>
          <w:rFonts w:ascii="FlandersArtSans-Regular" w:hAnsi="FlandersArtSans-Regular"/>
          <w:sz w:val="20"/>
          <w:szCs w:val="20"/>
          <w:lang w:val="fr-BE"/>
        </w:rPr>
      </w:pPr>
      <w:r w:rsidRPr="00126419">
        <w:rPr>
          <w:rFonts w:ascii="FlandersArtSans-Bold" w:hAnsi="FlandersArtSans-Bold"/>
          <w:sz w:val="20"/>
          <w:szCs w:val="20"/>
          <w:lang w:val="fr-BE"/>
        </w:rPr>
        <w:t>F</w:t>
      </w:r>
      <w:r w:rsidRPr="00126419">
        <w:rPr>
          <w:rFonts w:ascii="FlandersArtSans-Regular" w:hAnsi="FlandersArtSans-Regular"/>
          <w:sz w:val="20"/>
          <w:szCs w:val="20"/>
          <w:lang w:val="fr-BE"/>
        </w:rPr>
        <w:t xml:space="preserve"> </w:t>
      </w:r>
      <w:r w:rsidR="00126419" w:rsidRPr="00126419">
        <w:rPr>
          <w:rFonts w:ascii="FlandersArtSans-Regular" w:hAnsi="FlandersArtSans-Regular"/>
          <w:sz w:val="20"/>
          <w:szCs w:val="20"/>
          <w:lang w:val="fr-BE"/>
        </w:rPr>
        <w:t>02 552 77 01</w:t>
      </w:r>
    </w:p>
    <w:p w:rsidR="00742D22" w:rsidRPr="00126419" w:rsidRDefault="00126419" w:rsidP="00742D22">
      <w:pPr>
        <w:spacing w:after="20"/>
        <w:rPr>
          <w:rFonts w:ascii="FlandersArtSans-Bold" w:hAnsi="FlandersArtSans-Bold"/>
          <w:sz w:val="20"/>
          <w:szCs w:val="20"/>
          <w:lang w:val="fr-BE"/>
        </w:rPr>
      </w:pPr>
      <w:r w:rsidRPr="00126419">
        <w:rPr>
          <w:rFonts w:ascii="FlandersArtSans-Bold" w:hAnsi="FlandersArtSans-Bold"/>
          <w:sz w:val="20"/>
          <w:szCs w:val="20"/>
          <w:lang w:val="fr-BE"/>
        </w:rPr>
        <w:t>www.vlaanderen.be</w:t>
      </w:r>
    </w:p>
    <w:p w:rsidR="00742D22" w:rsidRPr="0032164B" w:rsidRDefault="00742D22" w:rsidP="000C5F8F">
      <w:pPr>
        <w:spacing w:before="400" w:after="120"/>
        <w:rPr>
          <w:rFonts w:ascii="FlandersArtSans-Medium" w:hAnsi="FlandersArtSans-Medium"/>
          <w:b/>
          <w:sz w:val="36"/>
          <w:szCs w:val="36"/>
          <w:lang w:val="en-US"/>
        </w:rPr>
      </w:pPr>
      <w:r w:rsidRPr="0032164B">
        <w:rPr>
          <w:rFonts w:ascii="FlandersArtSans-Medium" w:hAnsi="FlandersArtSans-Medium"/>
          <w:sz w:val="36"/>
          <w:szCs w:val="36"/>
          <w:lang w:val="en-US"/>
        </w:rPr>
        <w:t>VERSLAG</w:t>
      </w:r>
      <w:r w:rsidR="00FA4ECF">
        <w:rPr>
          <w:rFonts w:ascii="FlandersArtSans-Medium" w:hAnsi="FlandersArtSans-Medium"/>
          <w:sz w:val="36"/>
          <w:szCs w:val="36"/>
          <w:lang w:val="en-US"/>
        </w:rPr>
        <w:t xml:space="preserve"> </w:t>
      </w:r>
      <w:r w:rsidR="00D82AF9">
        <w:rPr>
          <w:rFonts w:ascii="FlandersArtSans-Medium" w:hAnsi="FlandersArtSans-Medium"/>
          <w:sz w:val="36"/>
          <w:szCs w:val="36"/>
          <w:lang w:val="en-US"/>
        </w:rPr>
        <w:t>Expertengroep Wijn</w:t>
      </w:r>
    </w:p>
    <w:p w:rsidR="00742D22" w:rsidRPr="009556D6" w:rsidRDefault="00742D22" w:rsidP="00742D22">
      <w:pPr>
        <w:spacing w:after="0"/>
        <w:rPr>
          <w:rFonts w:ascii="FlandersArtSans-Regular" w:hAnsi="FlandersArtSans-Regular"/>
          <w:sz w:val="16"/>
          <w:szCs w:val="16"/>
        </w:rPr>
      </w:pPr>
      <w:r w:rsidRPr="009556D6">
        <w:rPr>
          <w:rFonts w:ascii="FlandersArtSans-Regular" w:hAnsi="FlandersArtSans-Regular"/>
          <w:sz w:val="16"/>
          <w:szCs w:val="16"/>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3"/>
        <w:gridCol w:w="316"/>
      </w:tblGrid>
      <w:tr w:rsidR="00742D22" w:rsidRPr="009556D6" w:rsidTr="000C5F8F">
        <w:trPr>
          <w:trHeight w:val="881"/>
        </w:trPr>
        <w:tc>
          <w:tcPr>
            <w:tcW w:w="9813" w:type="dxa"/>
          </w:tcPr>
          <w:p w:rsidR="00742D22" w:rsidRDefault="00742D22" w:rsidP="00426C98">
            <w:pPr>
              <w:spacing w:before="120" w:after="20"/>
              <w:rPr>
                <w:rFonts w:ascii="FlandersArtSans-Regular" w:hAnsi="FlandersArtSans-Regular"/>
              </w:rPr>
            </w:pPr>
            <w:r w:rsidRPr="009556D6">
              <w:rPr>
                <w:rFonts w:ascii="FlandersArtSans-Regular" w:hAnsi="FlandersArtSans-Regular"/>
              </w:rPr>
              <w:t xml:space="preserve">datum: </w:t>
            </w:r>
            <w:r w:rsidR="00CA4EE8">
              <w:rPr>
                <w:rFonts w:ascii="FlandersArtSans-Regular" w:hAnsi="FlandersArtSans-Regular"/>
              </w:rPr>
              <w:t>2</w:t>
            </w:r>
            <w:r w:rsidR="00D82AF9">
              <w:rPr>
                <w:rFonts w:ascii="FlandersArtSans-Regular" w:hAnsi="FlandersArtSans-Regular"/>
              </w:rPr>
              <w:t>6</w:t>
            </w:r>
            <w:r w:rsidR="00CA4EE8">
              <w:rPr>
                <w:rFonts w:ascii="FlandersArtSans-Regular" w:hAnsi="FlandersArtSans-Regular"/>
              </w:rPr>
              <w:t>/01/2016</w:t>
            </w:r>
          </w:p>
          <w:p w:rsidR="00641CFE" w:rsidRPr="009556D6" w:rsidRDefault="00D82AF9" w:rsidP="00426C98">
            <w:pPr>
              <w:spacing w:before="120" w:after="20"/>
              <w:rPr>
                <w:rFonts w:ascii="FlandersArtSans-Regular" w:hAnsi="FlandersArtSans-Regular"/>
              </w:rPr>
            </w:pPr>
            <w:r>
              <w:rPr>
                <w:rFonts w:ascii="FlandersArtSans-Regular" w:hAnsi="FlandersArtSans-Regular"/>
              </w:rPr>
              <w:t>Verslag: Timo Delveaux</w:t>
            </w:r>
          </w:p>
        </w:tc>
        <w:tc>
          <w:tcPr>
            <w:tcW w:w="316" w:type="dxa"/>
          </w:tcPr>
          <w:p w:rsidR="00742D22" w:rsidRPr="009556D6" w:rsidRDefault="00742D22" w:rsidP="00EA0F42">
            <w:pPr>
              <w:spacing w:after="20"/>
              <w:rPr>
                <w:rFonts w:ascii="FlandersArtSans-Regular" w:hAnsi="FlandersArtSans-Regular"/>
              </w:rPr>
            </w:pPr>
          </w:p>
        </w:tc>
      </w:tr>
    </w:tbl>
    <w:p w:rsidR="00742D22" w:rsidRPr="009556D6" w:rsidRDefault="00742D22" w:rsidP="00742D22">
      <w:pPr>
        <w:spacing w:after="0"/>
        <w:rPr>
          <w:rFonts w:ascii="FlandersArtSans-Regular" w:hAnsi="FlandersArtSans-Regular"/>
          <w:sz w:val="16"/>
          <w:szCs w:val="16"/>
        </w:rPr>
        <w:sectPr w:rsidR="00742D22" w:rsidRPr="009556D6" w:rsidSect="00FC403C">
          <w:footerReference w:type="default" r:id="rId10"/>
          <w:footerReference w:type="first" r:id="rId11"/>
          <w:pgSz w:w="11906" w:h="16838"/>
          <w:pgMar w:top="851" w:right="851" w:bottom="618" w:left="1134" w:header="709" w:footer="709" w:gutter="0"/>
          <w:cols w:space="708"/>
          <w:titlePg/>
          <w:docGrid w:linePitch="360"/>
        </w:sectPr>
      </w:pPr>
      <w:r w:rsidRPr="009556D6">
        <w:rPr>
          <w:rFonts w:ascii="FlandersArtSans-Regular" w:hAnsi="FlandersArtSans-Regular"/>
          <w:sz w:val="16"/>
          <w:szCs w:val="16"/>
        </w:rPr>
        <w:t>//////////////////////////////////////////////////////////////////////////////////////////////////////////////////////////////////</w:t>
      </w:r>
    </w:p>
    <w:p w:rsidR="00742D22" w:rsidRDefault="007957BB" w:rsidP="000C5F8F">
      <w:pPr>
        <w:pStyle w:val="Kop1"/>
        <w:spacing w:after="120"/>
        <w:ind w:left="431" w:hanging="431"/>
      </w:pPr>
      <w:r>
        <w:lastRenderedPageBreak/>
        <w:t>etikettering van traditionele termen</w:t>
      </w:r>
    </w:p>
    <w:bookmarkStart w:id="0" w:name="_MON_1515397634"/>
    <w:bookmarkEnd w:id="0"/>
    <w:p w:rsidR="002D0F5B" w:rsidRDefault="002D0F5B" w:rsidP="00A90D0E">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12" o:title=""/>
          </v:shape>
          <o:OLEObject Type="Embed" ProgID="Word.Document.12" ShapeID="_x0000_i1025" DrawAspect="Icon" ObjectID="_1515569718" r:id="rId13">
            <o:FieldCodes>\s</o:FieldCodes>
          </o:OLEObject>
        </w:object>
      </w:r>
    </w:p>
    <w:p w:rsidR="006257F0" w:rsidRDefault="006257F0" w:rsidP="00FA4ECF">
      <w:r>
        <w:t>De Commissie deelt mee dat de ter beschikking gestelde documenten nog in een zeer vroege fase zitten. De werkdocumenten hebben dan ook eerder als doel discussie met de lidstaten aan te wakkeren.</w:t>
      </w:r>
    </w:p>
    <w:p w:rsidR="006257F0" w:rsidRDefault="00FB74F5" w:rsidP="00FA4ECF">
      <w:r>
        <w:t>De Commissie bespreekt 3 artikels:</w:t>
      </w:r>
    </w:p>
    <w:p w:rsidR="00D461C3" w:rsidRDefault="00D461C3" w:rsidP="00D461C3">
      <w:pPr>
        <w:pStyle w:val="Lijstalinea"/>
        <w:numPr>
          <w:ilvl w:val="0"/>
          <w:numId w:val="48"/>
        </w:numPr>
      </w:pPr>
      <w:r>
        <w:t xml:space="preserve">Bij de verplichte aanduidingen is de verwijzing naar </w:t>
      </w:r>
      <w:r w:rsidR="000C5F8F">
        <w:t>het</w:t>
      </w:r>
      <w:r>
        <w:t xml:space="preserve"> nummer van de partij weggelaten (ex artikel 50, 1. par 2</w:t>
      </w:r>
      <w:r w:rsidR="003846BD">
        <w:t xml:space="preserve"> van Verordening 607/2009)</w:t>
      </w:r>
      <w:r>
        <w:t xml:space="preserve"> daar deze bepalingen al zijn opgenomen in de horizontale verordening</w:t>
      </w:r>
    </w:p>
    <w:p w:rsidR="006F6DA6" w:rsidRDefault="000C5F8F" w:rsidP="006F6DA6">
      <w:pPr>
        <w:pStyle w:val="Lijstalinea"/>
        <w:numPr>
          <w:ilvl w:val="0"/>
          <w:numId w:val="48"/>
        </w:numPr>
      </w:pPr>
      <w:r>
        <w:t>Alcohol</w:t>
      </w:r>
      <w:r w:rsidR="00D461C3">
        <w:t>percentage (ex artikel 54 van 607/2009); in het voorstel is een</w:t>
      </w:r>
      <w:r w:rsidR="00D41BE7">
        <w:t xml:space="preserve"> tolerantie toegelaten van 0.8%; </w:t>
      </w:r>
      <w:r w:rsidR="006F6DA6">
        <w:t>de minimumgrootte is weggelaten, en wordt vervangen door de horizontale verordening (1169/2011) die 1.2mm bepaalt.</w:t>
      </w:r>
    </w:p>
    <w:p w:rsidR="006F6DA6" w:rsidRDefault="006F6DA6" w:rsidP="006F6DA6">
      <w:pPr>
        <w:pStyle w:val="Lijstalinea"/>
        <w:numPr>
          <w:ilvl w:val="0"/>
          <w:numId w:val="48"/>
        </w:numPr>
      </w:pPr>
      <w:r w:rsidRPr="006F6DA6">
        <w:t>Aanduiding van bottelaar, producent, importeur en verkoper</w:t>
      </w:r>
      <w:r>
        <w:t xml:space="preserve"> (ex artikel 56): de definities zijn er uit genomen; de mogelijkheid wordt geschrapt om bottelaar/invoerder/producent te vervangen door een code</w:t>
      </w:r>
    </w:p>
    <w:p w:rsidR="006F6DA6" w:rsidRPr="006F6DA6" w:rsidRDefault="006F6DA6" w:rsidP="006F6DA6">
      <w:pPr>
        <w:pStyle w:val="Lijstalinea"/>
      </w:pPr>
    </w:p>
    <w:p w:rsidR="00213F1A" w:rsidRDefault="00213F1A" w:rsidP="00FB74F5">
      <w:r>
        <w:t>Reacties van de experten:</w:t>
      </w:r>
    </w:p>
    <w:p w:rsidR="00FB74F5" w:rsidRDefault="00FB74F5" w:rsidP="00213F1A">
      <w:pPr>
        <w:pStyle w:val="Lijstalinea"/>
        <w:numPr>
          <w:ilvl w:val="0"/>
          <w:numId w:val="47"/>
        </w:numPr>
      </w:pPr>
      <w:r>
        <w:t xml:space="preserve">Een groot aantal experten zijn tegen het voorstel van de Commissie om </w:t>
      </w:r>
      <w:r w:rsidR="00DF629B">
        <w:t xml:space="preserve">de mogelijkheid te verwijderen om </w:t>
      </w:r>
      <w:r>
        <w:t xml:space="preserve">het </w:t>
      </w:r>
      <w:r w:rsidR="006F6DA6">
        <w:t xml:space="preserve">bottelaar/invoerder/producent </w:t>
      </w:r>
      <w:r>
        <w:t>te vervangen door een code.</w:t>
      </w:r>
      <w:r w:rsidR="00DF629B">
        <w:t xml:space="preserve"> </w:t>
      </w:r>
    </w:p>
    <w:p w:rsidR="00213F1A" w:rsidRDefault="00E41018" w:rsidP="00213F1A">
      <w:pPr>
        <w:pStyle w:val="Lijstalinea"/>
        <w:numPr>
          <w:ilvl w:val="0"/>
          <w:numId w:val="47"/>
        </w:numPr>
      </w:pPr>
      <w:r>
        <w:t xml:space="preserve">Geen goed idee om regels voor de geografische indicaties in een andere wetgeving op te nemen; </w:t>
      </w:r>
      <w:r w:rsidR="006F6DA6">
        <w:t>voor de operatoren</w:t>
      </w:r>
      <w:r w:rsidR="003846BD">
        <w:t xml:space="preserve"> en de administratie</w:t>
      </w:r>
      <w:r w:rsidR="006F6DA6">
        <w:t xml:space="preserve"> is de beste optie nog altijd om één en dezelfde tekst te hebben over wijn</w:t>
      </w:r>
    </w:p>
    <w:p w:rsidR="003846BD" w:rsidRDefault="003846BD" w:rsidP="000C5F8F">
      <w:pPr>
        <w:pStyle w:val="Lijstalinea"/>
        <w:numPr>
          <w:ilvl w:val="0"/>
          <w:numId w:val="47"/>
        </w:numPr>
        <w:spacing w:after="240"/>
        <w:ind w:left="714" w:hanging="357"/>
      </w:pPr>
      <w:r>
        <w:t>Steun aan de Commissie om horizontale regels uit de verordening te nemen in functie van vereenvoudiging</w:t>
      </w:r>
    </w:p>
    <w:p w:rsidR="003846BD" w:rsidRDefault="003846BD" w:rsidP="00FB74F5">
      <w:r>
        <w:t>De Commissie besluit dat de lidstaten voorstander zijn om alle regels op te sommen in een zelfde tekst</w:t>
      </w:r>
    </w:p>
    <w:p w:rsidR="003846BD" w:rsidRDefault="003846BD" w:rsidP="002D4776">
      <w:pPr>
        <w:pStyle w:val="Lijstalinea"/>
        <w:numPr>
          <w:ilvl w:val="0"/>
          <w:numId w:val="44"/>
        </w:numPr>
      </w:pPr>
      <w:r>
        <w:lastRenderedPageBreak/>
        <w:t>Indicatie va</w:t>
      </w:r>
      <w:r w:rsidR="00792F2C">
        <w:t>n het suikergehalte (ex artikel 58-60): de artikels zijn samengevoegd</w:t>
      </w:r>
      <w:r w:rsidR="00DF32AC">
        <w:t xml:space="preserve"> waarbij het suikergehalte ook vermeld kan worden voor niet-schuimende wijnen</w:t>
      </w:r>
      <w:r w:rsidR="00792F2C">
        <w:t xml:space="preserve"> </w:t>
      </w:r>
    </w:p>
    <w:p w:rsidR="00DF32AC" w:rsidRDefault="00DF32AC" w:rsidP="002D4776">
      <w:pPr>
        <w:pStyle w:val="Lijstalinea"/>
        <w:numPr>
          <w:ilvl w:val="0"/>
          <w:numId w:val="44"/>
        </w:numPr>
      </w:pPr>
      <w:r>
        <w:t>Wijnoogstjaar (ex art 61): punt 3 is geschrapt want overbodig</w:t>
      </w:r>
    </w:p>
    <w:p w:rsidR="00DF32AC" w:rsidRDefault="00DF32AC" w:rsidP="002D4776">
      <w:pPr>
        <w:pStyle w:val="Lijstalinea"/>
        <w:numPr>
          <w:ilvl w:val="0"/>
          <w:numId w:val="44"/>
        </w:numPr>
      </w:pPr>
      <w:r>
        <w:t xml:space="preserve">Naam druivenras (ex art 62): sommige lidstaten waren voorstander om slechts vermelding op het etiket toe te laten indien het ras voor minstens 15% deel uitmaakte van de wijn. Niet alle lidstaten steunden dit </w:t>
      </w:r>
      <w:r w:rsidR="000C5F8F">
        <w:t>voorstel, maar kan over gediscussi</w:t>
      </w:r>
      <w:r>
        <w:t>eerd worden</w:t>
      </w:r>
    </w:p>
    <w:p w:rsidR="00DF32AC" w:rsidRDefault="000C7E81" w:rsidP="000C5F8F">
      <w:pPr>
        <w:pStyle w:val="Lijstalinea"/>
        <w:numPr>
          <w:ilvl w:val="0"/>
          <w:numId w:val="44"/>
        </w:numPr>
        <w:spacing w:after="120"/>
        <w:ind w:left="714" w:hanging="357"/>
      </w:pPr>
      <w:r>
        <w:t>Taal: in verordening 1308/2013 wordt bepaald dat etikettering in EU-taal dient te gebeuren. In horizontale regels staat dat de taal moet worden verstaan door de consument. De juridische dienst raad</w:t>
      </w:r>
      <w:r w:rsidR="000C5F8F">
        <w:t>t</w:t>
      </w:r>
      <w:r>
        <w:t xml:space="preserve"> aan deze 2 regels moeten worden gedeeld, waardoor voor alle duidelijkheid hierover iets kan opgenomen worden in de verordening</w:t>
      </w:r>
    </w:p>
    <w:p w:rsidR="00DC7086" w:rsidRDefault="00D33D47" w:rsidP="00DC7086">
      <w:r>
        <w:t xml:space="preserve">Een expert is voorstander om de </w:t>
      </w:r>
      <w:r w:rsidR="003D6D48">
        <w:t xml:space="preserve">regels rond fles-types voor schuimwijn te versoepelen. Op een seminarie bleek er interesse te zijn om </w:t>
      </w:r>
      <w:proofErr w:type="spellStart"/>
      <w:r w:rsidR="003D6D48">
        <w:t>bvb</w:t>
      </w:r>
      <w:proofErr w:type="spellEnd"/>
      <w:r w:rsidR="003D6D48">
        <w:t xml:space="preserve"> schuimwijn uit een tap te serveren. </w:t>
      </w:r>
    </w:p>
    <w:p w:rsidR="00440690" w:rsidRDefault="002D0F5B" w:rsidP="000C5F8F">
      <w:pPr>
        <w:pStyle w:val="Kop1"/>
        <w:spacing w:after="120" w:line="240" w:lineRule="auto"/>
        <w:ind w:left="431" w:hanging="431"/>
      </w:pPr>
      <w:r>
        <w:t>Vereenvoudiging van verordening 607/2009 wat betreft druivenrassen</w:t>
      </w:r>
    </w:p>
    <w:p w:rsidR="00440690" w:rsidRDefault="002B3E05" w:rsidP="00DC7086">
      <w:r>
        <w:t>De lidstaten hebben eind vorig jaar een lijst opgemaakt van toegestane wijndruivenrassen in hun land.</w:t>
      </w:r>
    </w:p>
    <w:p w:rsidR="002B3E05" w:rsidRDefault="002B3E05" w:rsidP="00DC7086">
      <w:r>
        <w:t>Voorstel van de Commissie:</w:t>
      </w:r>
    </w:p>
    <w:p w:rsidR="002B3E05" w:rsidRDefault="002B3E05" w:rsidP="002B3E05">
      <w:pPr>
        <w:pStyle w:val="Lijstalinea"/>
        <w:numPr>
          <w:ilvl w:val="0"/>
          <w:numId w:val="44"/>
        </w:numPr>
      </w:pPr>
      <w:r>
        <w:t>(ex artikel 62 Vo 607/2009) schrappen van de vrijstelling die lidstaten met weinig wijnproduct</w:t>
      </w:r>
      <w:r w:rsidR="003962C7">
        <w:t>ie hadden (schrappen referentie</w:t>
      </w:r>
      <w:r>
        <w:t xml:space="preserve"> naar OIV). De reden is dat er een negatieve interferentie is met de OIV lijst en de Europese lijst. </w:t>
      </w:r>
      <w:r w:rsidR="003962C7">
        <w:t>Voortaan zou dus enkel ISAMM d</w:t>
      </w:r>
      <w:r>
        <w:t>i</w:t>
      </w:r>
      <w:r w:rsidR="003962C7">
        <w:t>e</w:t>
      </w:r>
      <w:r>
        <w:t>nen als communicatieluik</w:t>
      </w:r>
      <w:r w:rsidR="003962C7">
        <w:t xml:space="preserve"> en zou deze databank gekoppeld worden aan de Europa-website</w:t>
      </w:r>
    </w:p>
    <w:p w:rsidR="003962C7" w:rsidRDefault="003962C7" w:rsidP="002B3E05">
      <w:pPr>
        <w:pStyle w:val="Lijstalinea"/>
        <w:numPr>
          <w:ilvl w:val="0"/>
          <w:numId w:val="44"/>
        </w:numPr>
      </w:pPr>
      <w:r>
        <w:t xml:space="preserve">Een bijkomende vraag kan gesteld worden of het </w:t>
      </w:r>
      <w:proofErr w:type="spellStart"/>
      <w:r>
        <w:t>druivenras</w:t>
      </w:r>
      <w:proofErr w:type="spellEnd"/>
      <w:r>
        <w:t xml:space="preserve"> behoort tot </w:t>
      </w:r>
      <w:proofErr w:type="spellStart"/>
      <w:r>
        <w:t>vitis</w:t>
      </w:r>
      <w:proofErr w:type="spellEnd"/>
      <w:r>
        <w:t xml:space="preserve"> </w:t>
      </w:r>
      <w:proofErr w:type="spellStart"/>
      <w:r>
        <w:t>vinifera</w:t>
      </w:r>
      <w:proofErr w:type="spellEnd"/>
      <w:r>
        <w:t>, of dat het om een hybride soort gaat. Eventueel kunnen regels opgesteld worden om deze methode te bepalen</w:t>
      </w:r>
      <w:bookmarkStart w:id="1" w:name="_GoBack"/>
      <w:bookmarkEnd w:id="1"/>
    </w:p>
    <w:p w:rsidR="003962C7" w:rsidRDefault="003962C7" w:rsidP="003962C7">
      <w:pPr>
        <w:pStyle w:val="Lijstalinea"/>
      </w:pPr>
    </w:p>
    <w:p w:rsidR="003962C7" w:rsidRDefault="003962C7" w:rsidP="003962C7">
      <w:r>
        <w:t>Reacties experten:</w:t>
      </w:r>
    </w:p>
    <w:p w:rsidR="003962C7" w:rsidRDefault="003962C7" w:rsidP="003962C7">
      <w:pPr>
        <w:pStyle w:val="Lijstalinea"/>
        <w:numPr>
          <w:ilvl w:val="0"/>
          <w:numId w:val="44"/>
        </w:numPr>
      </w:pPr>
      <w:r>
        <w:t>Goed idee om OIV lijst te deleten</w:t>
      </w:r>
    </w:p>
    <w:p w:rsidR="003962C7" w:rsidRDefault="003962C7" w:rsidP="003962C7">
      <w:pPr>
        <w:pStyle w:val="Lijstalinea"/>
        <w:numPr>
          <w:ilvl w:val="0"/>
          <w:numId w:val="44"/>
        </w:numPr>
      </w:pPr>
      <w:r>
        <w:t xml:space="preserve">Het onderscheid tussen druivenrassen is niet meer van deze tijd. Met hybride rassen </w:t>
      </w:r>
      <w:r w:rsidR="00C01AD8">
        <w:t xml:space="preserve">kan ook uitstekende wijn worden; consument weet niet wat het onderscheid is tussen deze rassen; </w:t>
      </w:r>
    </w:p>
    <w:p w:rsidR="00C55505" w:rsidRDefault="00C55505" w:rsidP="003962C7">
      <w:pPr>
        <w:pStyle w:val="Lijstalinea"/>
        <w:numPr>
          <w:ilvl w:val="0"/>
          <w:numId w:val="44"/>
        </w:numPr>
      </w:pPr>
      <w:r>
        <w:t>Experten zijn geen voorstander om bijlage 15 (A en B) terug te openen daar ze het belangrijk vinden om maximale bescherming te geven aan BOB/BGA wijnen</w:t>
      </w:r>
    </w:p>
    <w:p w:rsidR="002F77CF" w:rsidRDefault="002F77CF" w:rsidP="000C5F8F">
      <w:pPr>
        <w:pStyle w:val="Kop1"/>
        <w:spacing w:after="120"/>
        <w:ind w:left="431" w:hanging="431"/>
      </w:pPr>
      <w:r>
        <w:t>controle</w:t>
      </w:r>
      <w:r w:rsidR="00971AF0">
        <w:t>: begeleidende documenten</w:t>
      </w:r>
    </w:p>
    <w:p w:rsidR="00971AF0" w:rsidRDefault="00971AF0" w:rsidP="00DC7086">
      <w:r>
        <w:t xml:space="preserve">De regelgeving rond begeleidende documenten zal zo veel mogelijk vereenvoudigd worden. Het document in artikel 24 (Verordening 436/2009) zal verplicht worden (ook voor kleine producenten). Men wil met dit elektronisch document ook sap en most dekken. De discussie over dit laatste punt is bezig met DG TAXUD. </w:t>
      </w:r>
    </w:p>
    <w:p w:rsidR="00971AF0" w:rsidRDefault="00971AF0" w:rsidP="00DC7086"/>
    <w:p w:rsidR="002F77CF" w:rsidRPr="00FA4ECF" w:rsidRDefault="002F77CF" w:rsidP="00DC7086"/>
    <w:sectPr w:rsidR="002F77CF" w:rsidRPr="00FA4ECF" w:rsidSect="004E1E0B">
      <w:type w:val="continuous"/>
      <w:pgSz w:w="11906" w:h="16838"/>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7F" w:rsidRDefault="008B287F" w:rsidP="00C41C85">
      <w:r>
        <w:separator/>
      </w:r>
    </w:p>
  </w:endnote>
  <w:endnote w:type="continuationSeparator" w:id="0">
    <w:p w:rsidR="008B287F" w:rsidRDefault="008B287F" w:rsidP="00C4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 Art San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Flanders Art Sans"/>
    <w:panose1 w:val="00000500000000000000"/>
    <w:charset w:val="00"/>
    <w:family w:val="auto"/>
    <w:pitch w:val="variable"/>
    <w:sig w:usb0="00000007" w:usb1="00000000" w:usb2="00000000" w:usb3="00000000" w:csb0="00000093" w:csb1="00000000"/>
    <w:embedRegular r:id="rId1" w:fontKey="{56BF3EFD-24F1-4EDE-BCD2-553BB8E08680}"/>
    <w:embedBold r:id="rId2" w:fontKey="{BEE9BBC3-01DE-4DFA-9C61-12241B33A791}"/>
  </w:font>
  <w:font w:name="Flanders Art Serif">
    <w:altName w:val="Courier"/>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landersArtSans-Bold">
    <w:altName w:val="Flanders Art Sans Bold"/>
    <w:panose1 w:val="00000800000000000000"/>
    <w:charset w:val="00"/>
    <w:family w:val="auto"/>
    <w:pitch w:val="variable"/>
    <w:sig w:usb0="00000007" w:usb1="00000000" w:usb2="00000000" w:usb3="00000000" w:csb0="00000093" w:csb1="00000000"/>
    <w:embedRegular r:id="rId3" w:fontKey="{9740E02A-DB01-4267-ACCA-8E9E63375AA6}"/>
  </w:font>
  <w:font w:name="MS Gothic">
    <w:altName w:val="ＭＳ ゴシック"/>
    <w:panose1 w:val="020B0609070205080204"/>
    <w:charset w:val="80"/>
    <w:family w:val="modern"/>
    <w:pitch w:val="fixed"/>
    <w:sig w:usb0="E00002FF" w:usb1="6AC7FDFB" w:usb2="00000012" w:usb3="00000000" w:csb0="0002009F" w:csb1="00000000"/>
  </w:font>
  <w:font w:name="FlandersArtSerif-Bold">
    <w:altName w:val="Flanders Art Serif Bold"/>
    <w:panose1 w:val="00000800000000000000"/>
    <w:charset w:val="00"/>
    <w:family w:val="auto"/>
    <w:pitch w:val="variable"/>
    <w:sig w:usb0="00000007" w:usb1="00000000" w:usb2="00000000" w:usb3="00000000" w:csb0="00000093" w:csb1="00000000"/>
  </w:font>
  <w:font w:name="FlandersArtSerif-Regular">
    <w:altName w:val="Flanders Art Serif"/>
    <w:panose1 w:val="00000500000000000000"/>
    <w:charset w:val="00"/>
    <w:family w:val="auto"/>
    <w:pitch w:val="variable"/>
    <w:sig w:usb0="00000007" w:usb1="00000000" w:usb2="00000000" w:usb3="00000000" w:csb0="00000093" w:csb1="00000000"/>
  </w:font>
  <w:font w:name="FlandersArtSerif-Medium">
    <w:altName w:val="Flanders Art Serif Medium"/>
    <w:panose1 w:val="00000600000000000000"/>
    <w:charset w:val="00"/>
    <w:family w:val="auto"/>
    <w:pitch w:val="variable"/>
    <w:sig w:usb0="00000007" w:usb1="00000000" w:usb2="00000000" w:usb3="00000000" w:csb0="00000093" w:csb1="00000000"/>
  </w:font>
  <w:font w:name="FlandersArtSans-Medium">
    <w:altName w:val="Flanders Art Sans Medium"/>
    <w:panose1 w:val="00000600000000000000"/>
    <w:charset w:val="00"/>
    <w:family w:val="auto"/>
    <w:pitch w:val="variable"/>
    <w:sig w:usb0="00000007" w:usb1="00000000" w:usb2="00000000" w:usb3="00000000" w:csb0="00000093" w:csb1="00000000"/>
    <w:embedRegular r:id="rId4" w:subsetted="1" w:fontKey="{638073AE-BE51-49A4-BCAB-DED66B8D5E19}"/>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charset w:val="00"/>
    <w:family w:val="auto"/>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2" w:rsidRPr="00742D22" w:rsidRDefault="00742D22" w:rsidP="00E608A3">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t xml:space="preserve">pagina </w:t>
    </w:r>
    <w:r w:rsidRPr="00742D22">
      <w:rPr>
        <w:rFonts w:ascii="FlandersArtSans-Regular" w:hAnsi="FlandersArtSans-Regular" w:cs="Calibri"/>
        <w:sz w:val="18"/>
        <w:szCs w:val="18"/>
      </w:rPr>
      <w:fldChar w:fldCharType="begin"/>
    </w:r>
    <w:r w:rsidRPr="00742D22">
      <w:rPr>
        <w:rFonts w:ascii="FlandersArtSans-Regular" w:hAnsi="FlandersArtSans-Regular" w:cs="Calibri"/>
        <w:sz w:val="18"/>
        <w:szCs w:val="18"/>
      </w:rPr>
      <w:instrText xml:space="preserve"> PAGE </w:instrText>
    </w:r>
    <w:r w:rsidRPr="00742D22">
      <w:rPr>
        <w:rFonts w:ascii="FlandersArtSans-Regular" w:hAnsi="FlandersArtSans-Regular" w:cs="Calibri"/>
        <w:sz w:val="18"/>
        <w:szCs w:val="18"/>
      </w:rPr>
      <w:fldChar w:fldCharType="separate"/>
    </w:r>
    <w:r w:rsidR="000C5F8F">
      <w:rPr>
        <w:rFonts w:ascii="FlandersArtSans-Regular" w:hAnsi="FlandersArtSans-Regular" w:cs="Calibri"/>
        <w:noProof/>
        <w:sz w:val="18"/>
        <w:szCs w:val="18"/>
      </w:rPr>
      <w:t>2</w:t>
    </w:r>
    <w:r w:rsidRPr="00742D22">
      <w:rPr>
        <w:rFonts w:ascii="FlandersArtSans-Regular" w:hAnsi="FlandersArtSans-Regular" w:cs="Calibri"/>
        <w:sz w:val="18"/>
        <w:szCs w:val="18"/>
      </w:rPr>
      <w:fldChar w:fldCharType="end"/>
    </w:r>
    <w:r w:rsidRPr="00742D22">
      <w:rPr>
        <w:rFonts w:ascii="FlandersArtSans-Regular" w:hAnsi="FlandersArtSans-Regular" w:cs="Calibri"/>
        <w:sz w:val="18"/>
        <w:szCs w:val="18"/>
      </w:rPr>
      <w:t xml:space="preserve"> van </w:t>
    </w:r>
    <w:r w:rsidRPr="00742D22">
      <w:rPr>
        <w:rStyle w:val="Paginanummer"/>
        <w:rFonts w:ascii="FlandersArtSans-Regular" w:hAnsi="FlandersArtSans-Regular" w:cs="Calibri"/>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742D22">
      <w:rPr>
        <w:rStyle w:val="Paginanummer"/>
        <w:rFonts w:ascii="FlandersArtSans-Regular" w:hAnsi="FlandersArtSans-Regular" w:cs="Calibri"/>
        <w:sz w:val="18"/>
        <w:szCs w:val="18"/>
      </w:rPr>
      <w:fldChar w:fldCharType="separate"/>
    </w:r>
    <w:r w:rsidR="000C5F8F">
      <w:rPr>
        <w:rStyle w:val="Paginanummer"/>
        <w:rFonts w:ascii="FlandersArtSans-Regular" w:hAnsi="FlandersArtSans-Regular" w:cs="Calibri"/>
        <w:noProof/>
        <w:sz w:val="18"/>
        <w:szCs w:val="18"/>
      </w:rPr>
      <w:t>2</w:t>
    </w:r>
    <w:r w:rsidRPr="00742D22">
      <w:rPr>
        <w:rStyle w:val="Paginanummer"/>
        <w:rFonts w:ascii="FlandersArtSans-Regular" w:hAnsi="FlandersArtSans-Regular"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2" w:rsidRDefault="00742D22" w:rsidP="00FC403C">
    <w:pPr>
      <w:pStyle w:val="Koptekst"/>
      <w:tabs>
        <w:tab w:val="clear" w:pos="4536"/>
        <w:tab w:val="clear" w:pos="9072"/>
        <w:tab w:val="center" w:pos="9356"/>
        <w:tab w:val="right" w:pos="10206"/>
      </w:tabs>
      <w:spacing w:before="200" w:after="120"/>
    </w:pPr>
    <w:r>
      <w:rPr>
        <w:noProof/>
        <w:lang w:eastAsia="nl-BE"/>
      </w:rPr>
      <w:drawing>
        <wp:inline distT="0" distB="0" distL="0" distR="0" wp14:anchorId="4229FADD" wp14:editId="5F89CF11">
          <wp:extent cx="1378800" cy="54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8800" cy="540000"/>
                  </a:xfrm>
                  <a:prstGeom prst="rect">
                    <a:avLst/>
                  </a:prstGeom>
                  <a:noFill/>
                  <a:ln>
                    <a:noFill/>
                  </a:ln>
                </pic:spPr>
              </pic:pic>
            </a:graphicData>
          </a:graphic>
        </wp:inline>
      </w:drawing>
    </w:r>
    <w:r>
      <w:rPr>
        <w:rFonts w:ascii="Calibri" w:hAnsi="Calibri" w:cs="Calibri"/>
        <w:sz w:val="18"/>
        <w:szCs w:val="18"/>
      </w:rPr>
      <w:tab/>
    </w:r>
    <w:r w:rsidRPr="00E344C5">
      <w:rPr>
        <w:rFonts w:ascii="FlandersArtSans-Regular" w:hAnsi="FlandersArtSans-Regular" w:cs="Calibri"/>
        <w:sz w:val="18"/>
        <w:szCs w:val="18"/>
      </w:rPr>
      <w:t xml:space="preserve">pagina </w:t>
    </w:r>
    <w:r w:rsidRPr="00E344C5">
      <w:rPr>
        <w:rFonts w:ascii="FlandersArtSans-Regular" w:hAnsi="FlandersArtSans-Regular" w:cs="Calibri"/>
        <w:sz w:val="18"/>
        <w:szCs w:val="18"/>
      </w:rPr>
      <w:fldChar w:fldCharType="begin"/>
    </w:r>
    <w:r w:rsidRPr="00E344C5">
      <w:rPr>
        <w:rFonts w:ascii="FlandersArtSans-Regular" w:hAnsi="FlandersArtSans-Regular" w:cs="Calibri"/>
        <w:sz w:val="18"/>
        <w:szCs w:val="18"/>
      </w:rPr>
      <w:instrText xml:space="preserve"> PAGE </w:instrText>
    </w:r>
    <w:r w:rsidRPr="00E344C5">
      <w:rPr>
        <w:rFonts w:ascii="FlandersArtSans-Regular" w:hAnsi="FlandersArtSans-Regular" w:cs="Calibri"/>
        <w:sz w:val="18"/>
        <w:szCs w:val="18"/>
      </w:rPr>
      <w:fldChar w:fldCharType="separate"/>
    </w:r>
    <w:r w:rsidR="000C5F8F">
      <w:rPr>
        <w:rFonts w:ascii="FlandersArtSans-Regular" w:hAnsi="FlandersArtSans-Regular" w:cs="Calibri"/>
        <w:noProof/>
        <w:sz w:val="18"/>
        <w:szCs w:val="18"/>
      </w:rPr>
      <w:t>1</w:t>
    </w:r>
    <w:r w:rsidRPr="00E344C5">
      <w:rPr>
        <w:rFonts w:ascii="FlandersArtSans-Regular" w:hAnsi="FlandersArtSans-Regular" w:cs="Calibri"/>
        <w:sz w:val="18"/>
        <w:szCs w:val="18"/>
      </w:rPr>
      <w:fldChar w:fldCharType="end"/>
    </w:r>
    <w:r w:rsidRPr="00E344C5">
      <w:rPr>
        <w:rFonts w:ascii="FlandersArtSans-Regular" w:hAnsi="FlandersArtSans-Regular" w:cs="Calibri"/>
        <w:sz w:val="18"/>
        <w:szCs w:val="18"/>
      </w:rPr>
      <w:t xml:space="preserve"> van </w:t>
    </w:r>
    <w:r w:rsidRPr="00E344C5">
      <w:rPr>
        <w:rStyle w:val="Paginanummer"/>
        <w:rFonts w:cs="Calibri"/>
        <w:sz w:val="18"/>
        <w:szCs w:val="18"/>
      </w:rPr>
      <w:fldChar w:fldCharType="begin"/>
    </w:r>
    <w:r w:rsidRPr="00E344C5">
      <w:rPr>
        <w:rStyle w:val="Paginanummer"/>
        <w:rFonts w:cs="Calibri"/>
        <w:sz w:val="18"/>
        <w:szCs w:val="18"/>
      </w:rPr>
      <w:instrText xml:space="preserve"> NUMPAGES </w:instrText>
    </w:r>
    <w:r w:rsidRPr="00E344C5">
      <w:rPr>
        <w:rStyle w:val="Paginanummer"/>
        <w:rFonts w:cs="Calibri"/>
        <w:sz w:val="18"/>
        <w:szCs w:val="18"/>
      </w:rPr>
      <w:fldChar w:fldCharType="separate"/>
    </w:r>
    <w:r w:rsidR="000C5F8F">
      <w:rPr>
        <w:rStyle w:val="Paginanummer"/>
        <w:rFonts w:cs="Calibri"/>
        <w:noProof/>
        <w:sz w:val="18"/>
        <w:szCs w:val="18"/>
      </w:rPr>
      <w:t>2</w:t>
    </w:r>
    <w:r w:rsidRPr="00E344C5">
      <w:rPr>
        <w:rStyle w:val="Paginanummer"/>
        <w:rFonts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7F" w:rsidRDefault="008B287F" w:rsidP="00C41C85">
      <w:r>
        <w:separator/>
      </w:r>
    </w:p>
  </w:footnote>
  <w:footnote w:type="continuationSeparator" w:id="0">
    <w:p w:rsidR="008B287F" w:rsidRDefault="008B287F" w:rsidP="00C41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nsid w:val="0C780C51"/>
    <w:multiLevelType w:val="hybridMultilevel"/>
    <w:tmpl w:val="A9E4320C"/>
    <w:lvl w:ilvl="0" w:tplc="7F3A657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0B069C0"/>
    <w:multiLevelType w:val="hybridMultilevel"/>
    <w:tmpl w:val="71D69640"/>
    <w:lvl w:ilvl="0" w:tplc="E6B8CB2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542131A"/>
    <w:multiLevelType w:val="hybridMultilevel"/>
    <w:tmpl w:val="66D68FE2"/>
    <w:lvl w:ilvl="0" w:tplc="E2545D6C">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5929E3"/>
    <w:multiLevelType w:val="multilevel"/>
    <w:tmpl w:val="4BAC6044"/>
    <w:lvl w:ilvl="0">
      <w:start w:val="1"/>
      <w:numFmt w:val="decimal"/>
      <w:lvlText w:val="%1"/>
      <w:lvlJc w:val="left"/>
      <w:pPr>
        <w:tabs>
          <w:tab w:val="num" w:pos="432"/>
        </w:tabs>
        <w:ind w:left="432" w:hanging="432"/>
      </w:pPr>
      <w:rPr>
        <w:rFonts w:ascii="Garamond" w:hAnsi="Garamond" w:hint="default"/>
        <w:b/>
        <w:i w:val="0"/>
        <w:sz w:val="32"/>
      </w:r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9DE7309"/>
    <w:multiLevelType w:val="hybridMultilevel"/>
    <w:tmpl w:val="E6E0D46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nsid w:val="698C67D3"/>
    <w:multiLevelType w:val="multilevel"/>
    <w:tmpl w:val="D55839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nsid w:val="6AC5489E"/>
    <w:multiLevelType w:val="hybridMultilevel"/>
    <w:tmpl w:val="1A36D9E2"/>
    <w:lvl w:ilvl="0" w:tplc="A5E8364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nsid w:val="6FEE4385"/>
    <w:multiLevelType w:val="hybridMultilevel"/>
    <w:tmpl w:val="710C325C"/>
    <w:lvl w:ilvl="0" w:tplc="6A443B46">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0"/>
  </w:num>
  <w:num w:numId="38">
    <w:abstractNumId w:val="8"/>
  </w:num>
  <w:num w:numId="39">
    <w:abstractNumId w:val="2"/>
  </w:num>
  <w:num w:numId="40">
    <w:abstractNumId w:val="11"/>
  </w:num>
  <w:num w:numId="41">
    <w:abstractNumId w:val="5"/>
  </w:num>
  <w:num w:numId="42">
    <w:abstractNumId w:val="7"/>
  </w:num>
  <w:num w:numId="43">
    <w:abstractNumId w:val="9"/>
  </w:num>
  <w:num w:numId="44">
    <w:abstractNumId w:val="1"/>
  </w:num>
  <w:num w:numId="45">
    <w:abstractNumId w:val="3"/>
  </w:num>
  <w:num w:numId="46">
    <w:abstractNumId w:val="4"/>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embedSystemFonts/>
  <w:saveSubsetFont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70"/>
    <w:rsid w:val="00042CB7"/>
    <w:rsid w:val="00043386"/>
    <w:rsid w:val="00053C12"/>
    <w:rsid w:val="00061146"/>
    <w:rsid w:val="000A3BE9"/>
    <w:rsid w:val="000C423B"/>
    <w:rsid w:val="000C5F8F"/>
    <w:rsid w:val="000C7E81"/>
    <w:rsid w:val="000F7165"/>
    <w:rsid w:val="00103464"/>
    <w:rsid w:val="00122725"/>
    <w:rsid w:val="00126419"/>
    <w:rsid w:val="0012720A"/>
    <w:rsid w:val="00136488"/>
    <w:rsid w:val="00152370"/>
    <w:rsid w:val="001674CD"/>
    <w:rsid w:val="001A12AD"/>
    <w:rsid w:val="001E2D82"/>
    <w:rsid w:val="00201EF5"/>
    <w:rsid w:val="00213F1A"/>
    <w:rsid w:val="00217386"/>
    <w:rsid w:val="00260102"/>
    <w:rsid w:val="002B3E05"/>
    <w:rsid w:val="002C3470"/>
    <w:rsid w:val="002C3BBD"/>
    <w:rsid w:val="002D0F5B"/>
    <w:rsid w:val="002D4776"/>
    <w:rsid w:val="002F77CF"/>
    <w:rsid w:val="0032164B"/>
    <w:rsid w:val="00352B51"/>
    <w:rsid w:val="00360947"/>
    <w:rsid w:val="003846BD"/>
    <w:rsid w:val="003962C7"/>
    <w:rsid w:val="003D6D48"/>
    <w:rsid w:val="00424A03"/>
    <w:rsid w:val="00426C98"/>
    <w:rsid w:val="00440690"/>
    <w:rsid w:val="00444BD3"/>
    <w:rsid w:val="00447B9B"/>
    <w:rsid w:val="00461B02"/>
    <w:rsid w:val="004B402E"/>
    <w:rsid w:val="004F46ED"/>
    <w:rsid w:val="00512B66"/>
    <w:rsid w:val="00522A5C"/>
    <w:rsid w:val="00553D4D"/>
    <w:rsid w:val="005E76E4"/>
    <w:rsid w:val="00601F31"/>
    <w:rsid w:val="0061388B"/>
    <w:rsid w:val="00620612"/>
    <w:rsid w:val="006257F0"/>
    <w:rsid w:val="00641CFE"/>
    <w:rsid w:val="00653318"/>
    <w:rsid w:val="006B1EE5"/>
    <w:rsid w:val="006F6DA6"/>
    <w:rsid w:val="00727106"/>
    <w:rsid w:val="00742D22"/>
    <w:rsid w:val="00792F2C"/>
    <w:rsid w:val="007957BB"/>
    <w:rsid w:val="007A0011"/>
    <w:rsid w:val="007C1A72"/>
    <w:rsid w:val="007D3C29"/>
    <w:rsid w:val="00803EF2"/>
    <w:rsid w:val="00882132"/>
    <w:rsid w:val="00897253"/>
    <w:rsid w:val="008B287F"/>
    <w:rsid w:val="008E1A4B"/>
    <w:rsid w:val="008F7835"/>
    <w:rsid w:val="009170F9"/>
    <w:rsid w:val="00921462"/>
    <w:rsid w:val="00922A25"/>
    <w:rsid w:val="00970309"/>
    <w:rsid w:val="00971AF0"/>
    <w:rsid w:val="00976488"/>
    <w:rsid w:val="0099644B"/>
    <w:rsid w:val="009D61CC"/>
    <w:rsid w:val="00A40F4B"/>
    <w:rsid w:val="00A47036"/>
    <w:rsid w:val="00A5391D"/>
    <w:rsid w:val="00A62B0B"/>
    <w:rsid w:val="00A90D0E"/>
    <w:rsid w:val="00AB3FDC"/>
    <w:rsid w:val="00AC1330"/>
    <w:rsid w:val="00AF293E"/>
    <w:rsid w:val="00B55C34"/>
    <w:rsid w:val="00B93F69"/>
    <w:rsid w:val="00B95D0C"/>
    <w:rsid w:val="00BC2A4F"/>
    <w:rsid w:val="00C01AD8"/>
    <w:rsid w:val="00C41C85"/>
    <w:rsid w:val="00C50DA4"/>
    <w:rsid w:val="00C55505"/>
    <w:rsid w:val="00C67B55"/>
    <w:rsid w:val="00C73CCF"/>
    <w:rsid w:val="00C815FA"/>
    <w:rsid w:val="00C918AD"/>
    <w:rsid w:val="00CA4BD6"/>
    <w:rsid w:val="00CA4EE8"/>
    <w:rsid w:val="00CC1FDB"/>
    <w:rsid w:val="00D33D47"/>
    <w:rsid w:val="00D33DDF"/>
    <w:rsid w:val="00D41BE7"/>
    <w:rsid w:val="00D461C3"/>
    <w:rsid w:val="00D53673"/>
    <w:rsid w:val="00D55CF2"/>
    <w:rsid w:val="00D82AF9"/>
    <w:rsid w:val="00DC7086"/>
    <w:rsid w:val="00DF1CF9"/>
    <w:rsid w:val="00DF32AC"/>
    <w:rsid w:val="00DF629B"/>
    <w:rsid w:val="00E41018"/>
    <w:rsid w:val="00E624A4"/>
    <w:rsid w:val="00E77F81"/>
    <w:rsid w:val="00E9329E"/>
    <w:rsid w:val="00EF60D3"/>
    <w:rsid w:val="00F82337"/>
    <w:rsid w:val="00F9126D"/>
    <w:rsid w:val="00FA16A3"/>
    <w:rsid w:val="00FA4ECF"/>
    <w:rsid w:val="00FB74F5"/>
    <w:rsid w:val="00FF078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6D"/>
    <w:pPr>
      <w:spacing w:after="200"/>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36"/>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36"/>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52B51"/>
    <w:pPr>
      <w:keepNext/>
      <w:keepLines/>
      <w:numPr>
        <w:ilvl w:val="2"/>
        <w:numId w:val="36"/>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36"/>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36"/>
      </w:numPr>
      <w:spacing w:before="200" w:after="0" w:line="270" w:lineRule="exact"/>
      <w:contextualSpacing/>
      <w:outlineLvl w:val="4"/>
    </w:pPr>
    <w:rPr>
      <w:rFonts w:ascii="FlandersArtSans-Regular" w:eastAsiaTheme="majorEastAsia" w:hAnsi="FlandersArtSans-Regular" w:cstheme="majorBidi"/>
      <w:color w:val="1D1B11"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36"/>
      </w:numPr>
      <w:spacing w:before="200" w:after="0" w:line="270" w:lineRule="exact"/>
      <w:contextualSpacing/>
      <w:outlineLvl w:val="5"/>
    </w:pPr>
    <w:rPr>
      <w:rFonts w:ascii="FlandersArtSerif-Regular" w:eastAsiaTheme="majorEastAsia" w:hAnsi="FlandersArtSerif-Regular" w:cstheme="majorBidi"/>
      <w:iCs/>
      <w:color w:val="1D1B11"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36"/>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36"/>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4"/>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D1B11"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52B51"/>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000000"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404040"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D1B11"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808080"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contextualSpacing/>
    </w:pPr>
    <w:rPr>
      <w:rFonts w:ascii="Tahoma" w:hAnsi="Tahoma" w:cs="Tahoma"/>
      <w:color w:val="1D1B11"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D1B11"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D1B11"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color w:val="1D1B11" w:themeColor="background2" w:themeShade="1A"/>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color w:val="1D1B11" w:themeColor="background2" w:themeShade="1A"/>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color w:val="1D1B11" w:themeColor="background2" w:themeShade="1A"/>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color w:val="1D1B11" w:themeColor="background2" w:themeShade="1A"/>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color w:val="1D1B11" w:themeColor="background2" w:themeShade="1A"/>
    </w:rPr>
  </w:style>
  <w:style w:type="paragraph" w:styleId="Voetnoottekst">
    <w:name w:val="footnote text"/>
    <w:basedOn w:val="Standaard"/>
    <w:link w:val="VoetnoottekstChar"/>
    <w:uiPriority w:val="99"/>
    <w:semiHidden/>
    <w:unhideWhenUsed/>
    <w:rsid w:val="00C41C85"/>
    <w:pPr>
      <w:spacing w:after="0"/>
      <w:contextualSpacing/>
    </w:pPr>
    <w:rPr>
      <w:rFonts w:ascii="FlandersArtSans-Regular" w:hAnsi="FlandersArtSans-Regular"/>
      <w:color w:val="1D1B11"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D1B11"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F8B00"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000000"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000000"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6F8B00" w:themeColor="accent1"/>
      </w:pBdr>
      <w:spacing w:before="200" w:after="280" w:line="270" w:lineRule="exact"/>
      <w:ind w:left="936" w:right="936"/>
      <w:contextualSpacing/>
    </w:pPr>
    <w:rPr>
      <w:rFonts w:ascii="FlandersArtSans-Bold" w:hAnsi="FlandersArtSans-Bold"/>
      <w:bCs/>
      <w:iCs/>
      <w:color w:val="6F8B00"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F8B00"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914E1A"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914E1A"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A5391D"/>
    <w:rPr>
      <w:color w:val="0000FF" w:themeColor="hyperlink"/>
      <w:u w:val="single"/>
    </w:rPr>
  </w:style>
  <w:style w:type="paragraph" w:customStyle="1" w:styleId="CM4">
    <w:name w:val="CM4"/>
    <w:basedOn w:val="Standaard"/>
    <w:next w:val="Standaard"/>
    <w:uiPriority w:val="99"/>
    <w:rsid w:val="006F6DA6"/>
    <w:pPr>
      <w:autoSpaceDE w:val="0"/>
      <w:autoSpaceDN w:val="0"/>
      <w:adjustRightInd w:val="0"/>
      <w:spacing w:after="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6D"/>
    <w:pPr>
      <w:spacing w:after="200"/>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36"/>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36"/>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52B51"/>
    <w:pPr>
      <w:keepNext/>
      <w:keepLines/>
      <w:numPr>
        <w:ilvl w:val="2"/>
        <w:numId w:val="36"/>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36"/>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36"/>
      </w:numPr>
      <w:spacing w:before="200" w:after="0" w:line="270" w:lineRule="exact"/>
      <w:contextualSpacing/>
      <w:outlineLvl w:val="4"/>
    </w:pPr>
    <w:rPr>
      <w:rFonts w:ascii="FlandersArtSans-Regular" w:eastAsiaTheme="majorEastAsia" w:hAnsi="FlandersArtSans-Regular" w:cstheme="majorBidi"/>
      <w:color w:val="1D1B11"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36"/>
      </w:numPr>
      <w:spacing w:before="200" w:after="0" w:line="270" w:lineRule="exact"/>
      <w:contextualSpacing/>
      <w:outlineLvl w:val="5"/>
    </w:pPr>
    <w:rPr>
      <w:rFonts w:ascii="FlandersArtSerif-Regular" w:eastAsiaTheme="majorEastAsia" w:hAnsi="FlandersArtSerif-Regular" w:cstheme="majorBidi"/>
      <w:iCs/>
      <w:color w:val="1D1B11"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36"/>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36"/>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4"/>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D1B11"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52B51"/>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000000"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404040"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D1B11"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808080"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contextualSpacing/>
    </w:pPr>
    <w:rPr>
      <w:rFonts w:ascii="Tahoma" w:hAnsi="Tahoma" w:cs="Tahoma"/>
      <w:color w:val="1D1B11"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D1B11"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D1B11"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color w:val="1D1B11" w:themeColor="background2" w:themeShade="1A"/>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color w:val="1D1B11" w:themeColor="background2" w:themeShade="1A"/>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color w:val="1D1B11" w:themeColor="background2" w:themeShade="1A"/>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color w:val="1D1B11" w:themeColor="background2" w:themeShade="1A"/>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color w:val="1D1B11" w:themeColor="background2" w:themeShade="1A"/>
    </w:rPr>
  </w:style>
  <w:style w:type="paragraph" w:styleId="Voetnoottekst">
    <w:name w:val="footnote text"/>
    <w:basedOn w:val="Standaard"/>
    <w:link w:val="VoetnoottekstChar"/>
    <w:uiPriority w:val="99"/>
    <w:semiHidden/>
    <w:unhideWhenUsed/>
    <w:rsid w:val="00C41C85"/>
    <w:pPr>
      <w:spacing w:after="0"/>
      <w:contextualSpacing/>
    </w:pPr>
    <w:rPr>
      <w:rFonts w:ascii="FlandersArtSans-Regular" w:hAnsi="FlandersArtSans-Regular"/>
      <w:color w:val="1D1B11"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D1B11"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F8B00"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000000"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000000"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6F8B00" w:themeColor="accent1"/>
      </w:pBdr>
      <w:spacing w:before="200" w:after="280" w:line="270" w:lineRule="exact"/>
      <w:ind w:left="936" w:right="936"/>
      <w:contextualSpacing/>
    </w:pPr>
    <w:rPr>
      <w:rFonts w:ascii="FlandersArtSans-Bold" w:hAnsi="FlandersArtSans-Bold"/>
      <w:bCs/>
      <w:iCs/>
      <w:color w:val="6F8B00"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F8B00"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914E1A"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914E1A"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A5391D"/>
    <w:rPr>
      <w:color w:val="0000FF" w:themeColor="hyperlink"/>
      <w:u w:val="single"/>
    </w:rPr>
  </w:style>
  <w:style w:type="paragraph" w:customStyle="1" w:styleId="CM4">
    <w:name w:val="CM4"/>
    <w:basedOn w:val="Standaard"/>
    <w:next w:val="Standaard"/>
    <w:uiPriority w:val="99"/>
    <w:rsid w:val="006F6DA6"/>
    <w:pPr>
      <w:autoSpaceDE w:val="0"/>
      <w:autoSpaceDN w:val="0"/>
      <w:adjustRightInd w:val="0"/>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Dep LV">
      <a:dk1>
        <a:sysClr val="windowText" lastClr="000000"/>
      </a:dk1>
      <a:lt1>
        <a:sysClr val="window" lastClr="FFFFFF"/>
      </a:lt1>
      <a:dk2>
        <a:srgbClr val="6F8B00"/>
      </a:dk2>
      <a:lt2>
        <a:srgbClr val="EEECE1"/>
      </a:lt2>
      <a:accent1>
        <a:srgbClr val="6F8B00"/>
      </a:accent1>
      <a:accent2>
        <a:srgbClr val="914E1A"/>
      </a:accent2>
      <a:accent3>
        <a:srgbClr val="86263B"/>
      </a:accent3>
      <a:accent4>
        <a:srgbClr val="15465B"/>
      </a:accent4>
      <a:accent5>
        <a:srgbClr val="FFFF00"/>
      </a:accent5>
      <a:accent6>
        <a:srgbClr val="000000"/>
      </a:accent6>
      <a:hlink>
        <a:srgbClr val="0000FF"/>
      </a:hlink>
      <a:folHlink>
        <a:srgbClr val="800080"/>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FF1F-B750-448C-BD2C-AD78EE33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680</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Ilse</dc:creator>
  <cp:lastModifiedBy>Timmermans, Ilse</cp:lastModifiedBy>
  <cp:revision>43</cp:revision>
  <dcterms:created xsi:type="dcterms:W3CDTF">2016-01-26T08:03:00Z</dcterms:created>
  <dcterms:modified xsi:type="dcterms:W3CDTF">2016-01-29T09:49:00Z</dcterms:modified>
</cp:coreProperties>
</file>