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E1F3D" w14:textId="77777777" w:rsidR="009B775D" w:rsidRPr="005972D4" w:rsidRDefault="009B775D" w:rsidP="009B775D">
      <w:pPr>
        <w:spacing w:after="0"/>
      </w:pPr>
      <w:bookmarkStart w:id="0" w:name="_GoBack"/>
      <w:bookmarkEnd w:id="0"/>
      <w:r w:rsidRPr="005972D4">
        <w:rPr>
          <w:noProof/>
          <w:lang w:eastAsia="nl-BE"/>
        </w:rPr>
        <w:drawing>
          <wp:inline distT="0" distB="0" distL="0" distR="0" wp14:anchorId="54A2B060" wp14:editId="00553CFA">
            <wp:extent cx="3212656"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12656" cy="660716"/>
                    </a:xfrm>
                    <a:prstGeom prst="rect">
                      <a:avLst/>
                    </a:prstGeom>
                    <a:noFill/>
                    <a:ln>
                      <a:noFill/>
                    </a:ln>
                  </pic:spPr>
                </pic:pic>
              </a:graphicData>
            </a:graphic>
          </wp:inline>
        </w:drawing>
      </w:r>
    </w:p>
    <w:p w14:paraId="3FF16604" w14:textId="77777777" w:rsidR="009B775D" w:rsidRPr="005972D4" w:rsidRDefault="009B775D" w:rsidP="009B775D">
      <w:pPr>
        <w:spacing w:after="20"/>
        <w:rPr>
          <w:rFonts w:cs="Calibri"/>
          <w:sz w:val="20"/>
          <w:szCs w:val="20"/>
        </w:rPr>
      </w:pPr>
      <w:r w:rsidRPr="005972D4">
        <w:rPr>
          <w:sz w:val="20"/>
          <w:szCs w:val="20"/>
        </w:rPr>
        <w:t>Vlaamse overheid</w:t>
      </w:r>
    </w:p>
    <w:p w14:paraId="2AE36EDD" w14:textId="77777777" w:rsidR="009B775D" w:rsidRPr="005972D4" w:rsidRDefault="009B775D" w:rsidP="009B775D">
      <w:pPr>
        <w:spacing w:after="20"/>
        <w:rPr>
          <w:sz w:val="20"/>
          <w:szCs w:val="20"/>
        </w:rPr>
      </w:pPr>
      <w:r w:rsidRPr="005972D4">
        <w:rPr>
          <w:sz w:val="20"/>
          <w:szCs w:val="20"/>
        </w:rPr>
        <w:t>Koning Albert II-laan 35 bus 40</w:t>
      </w:r>
    </w:p>
    <w:p w14:paraId="7220CBBB" w14:textId="77777777" w:rsidR="009B775D" w:rsidRPr="001C0EE8" w:rsidRDefault="009B775D" w:rsidP="009B775D">
      <w:pPr>
        <w:spacing w:after="20"/>
        <w:rPr>
          <w:sz w:val="20"/>
          <w:szCs w:val="20"/>
        </w:rPr>
      </w:pPr>
      <w:r w:rsidRPr="001C0EE8">
        <w:rPr>
          <w:sz w:val="20"/>
          <w:szCs w:val="20"/>
        </w:rPr>
        <w:t>1030 BRUSSEL</w:t>
      </w:r>
    </w:p>
    <w:p w14:paraId="6F34AEA8" w14:textId="77777777" w:rsidR="009B775D" w:rsidRPr="001C0EE8" w:rsidRDefault="009B775D" w:rsidP="009B775D">
      <w:pPr>
        <w:spacing w:after="20"/>
        <w:rPr>
          <w:sz w:val="20"/>
          <w:szCs w:val="20"/>
        </w:rPr>
      </w:pPr>
      <w:r w:rsidRPr="001C0EE8">
        <w:rPr>
          <w:sz w:val="20"/>
          <w:szCs w:val="20"/>
        </w:rPr>
        <w:t>T 02 552 77 05</w:t>
      </w:r>
    </w:p>
    <w:p w14:paraId="531D4842" w14:textId="77777777" w:rsidR="009B775D" w:rsidRPr="001C0EE8" w:rsidRDefault="009B775D" w:rsidP="009B775D">
      <w:pPr>
        <w:spacing w:after="20"/>
        <w:rPr>
          <w:sz w:val="20"/>
          <w:szCs w:val="20"/>
        </w:rPr>
      </w:pPr>
      <w:r w:rsidRPr="001C0EE8">
        <w:rPr>
          <w:sz w:val="20"/>
          <w:szCs w:val="20"/>
        </w:rPr>
        <w:t>F 02 552 77 01</w:t>
      </w:r>
    </w:p>
    <w:p w14:paraId="2569F51A" w14:textId="77777777" w:rsidR="009B775D" w:rsidRPr="001C0EE8" w:rsidRDefault="009B775D" w:rsidP="009B775D">
      <w:pPr>
        <w:spacing w:after="20"/>
        <w:rPr>
          <w:sz w:val="20"/>
          <w:szCs w:val="20"/>
        </w:rPr>
      </w:pPr>
      <w:r w:rsidRPr="001C0EE8">
        <w:rPr>
          <w:sz w:val="20"/>
          <w:szCs w:val="20"/>
        </w:rPr>
        <w:t>www.vlaanderen.be</w:t>
      </w:r>
    </w:p>
    <w:p w14:paraId="6CECBA36" w14:textId="77777777" w:rsidR="009B775D" w:rsidRPr="00920E52" w:rsidRDefault="009B775D" w:rsidP="009B775D">
      <w:pPr>
        <w:spacing w:after="0"/>
        <w:rPr>
          <w:sz w:val="16"/>
          <w:szCs w:val="16"/>
          <w:lang w:val="de-DE"/>
        </w:rPr>
      </w:pPr>
      <w:r w:rsidRPr="00920E52">
        <w:rPr>
          <w:sz w:val="16"/>
          <w:szCs w:val="16"/>
          <w:lang w:val="de-DE"/>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304"/>
      </w:tblGrid>
      <w:tr w:rsidR="009B775D" w:rsidRPr="005972D4" w14:paraId="29FCEE4D" w14:textId="77777777" w:rsidTr="009B775D">
        <w:trPr>
          <w:trHeight w:val="807"/>
        </w:trPr>
        <w:tc>
          <w:tcPr>
            <w:tcW w:w="8768" w:type="dxa"/>
          </w:tcPr>
          <w:p w14:paraId="50B0ACAB" w14:textId="6FB5460B" w:rsidR="009B775D" w:rsidRPr="005972D4" w:rsidRDefault="009B775D" w:rsidP="002B7212">
            <w:pPr>
              <w:spacing w:before="120" w:after="120"/>
            </w:pPr>
            <w:r w:rsidRPr="005972D4">
              <w:t xml:space="preserve">datum: </w:t>
            </w:r>
            <w:r w:rsidR="00D50207">
              <w:t>30/11</w:t>
            </w:r>
            <w:r w:rsidR="005752E3">
              <w:t>/</w:t>
            </w:r>
            <w:r w:rsidR="00F52477">
              <w:t>2021</w:t>
            </w:r>
          </w:p>
          <w:p w14:paraId="24DCEA20" w14:textId="77777777" w:rsidR="009B775D" w:rsidRPr="005972D4" w:rsidRDefault="009B775D" w:rsidP="002B7212">
            <w:pPr>
              <w:spacing w:before="120" w:after="120"/>
            </w:pPr>
            <w:r w:rsidRPr="005972D4">
              <w:t>Verslag: Timo Delveaux</w:t>
            </w:r>
          </w:p>
        </w:tc>
        <w:tc>
          <w:tcPr>
            <w:tcW w:w="304" w:type="dxa"/>
          </w:tcPr>
          <w:p w14:paraId="4A0E8479" w14:textId="77777777" w:rsidR="009B775D" w:rsidRPr="005972D4" w:rsidRDefault="009B775D" w:rsidP="002B7212">
            <w:pPr>
              <w:spacing w:before="120" w:after="120"/>
            </w:pPr>
          </w:p>
        </w:tc>
      </w:tr>
    </w:tbl>
    <w:p w14:paraId="674EB95E" w14:textId="77777777" w:rsidR="009B775D" w:rsidRPr="001C0EE8" w:rsidRDefault="009B775D" w:rsidP="009B775D">
      <w:pPr>
        <w:spacing w:before="400" w:after="120"/>
        <w:rPr>
          <w:b/>
          <w:sz w:val="36"/>
          <w:szCs w:val="36"/>
        </w:rPr>
      </w:pPr>
      <w:r w:rsidRPr="001C0EE8">
        <w:rPr>
          <w:sz w:val="36"/>
          <w:szCs w:val="36"/>
        </w:rPr>
        <w:t xml:space="preserve">VERSLAG </w:t>
      </w:r>
      <w:r w:rsidR="004F75BF">
        <w:rPr>
          <w:sz w:val="36"/>
          <w:szCs w:val="36"/>
        </w:rPr>
        <w:t>expertengroep</w:t>
      </w:r>
      <w:r>
        <w:rPr>
          <w:sz w:val="36"/>
          <w:szCs w:val="36"/>
        </w:rPr>
        <w:t xml:space="preserve"> </w:t>
      </w:r>
      <w:r w:rsidR="003D3434">
        <w:rPr>
          <w:sz w:val="36"/>
          <w:szCs w:val="36"/>
        </w:rPr>
        <w:t>gedistilleerde dranken</w:t>
      </w:r>
    </w:p>
    <w:p w14:paraId="522A2A3B" w14:textId="1FDF76A2" w:rsidR="00DF3303" w:rsidRPr="00D27967" w:rsidRDefault="00D50207" w:rsidP="00E701C0">
      <w:pPr>
        <w:pStyle w:val="Lijstalinea"/>
        <w:numPr>
          <w:ilvl w:val="0"/>
          <w:numId w:val="22"/>
        </w:numPr>
        <w:rPr>
          <w:rFonts w:ascii="Times New Roman" w:hAnsi="Times New Roman" w:cs="Times New Roman"/>
          <w:b/>
          <w:color w:val="000000"/>
          <w:sz w:val="23"/>
          <w:szCs w:val="23"/>
        </w:rPr>
      </w:pPr>
      <w:r>
        <w:rPr>
          <w:rFonts w:ascii="Times New Roman" w:hAnsi="Times New Roman" w:cs="Times New Roman"/>
          <w:b/>
          <w:color w:val="000000"/>
          <w:sz w:val="23"/>
          <w:szCs w:val="23"/>
        </w:rPr>
        <w:t>Wijziging van de SDR inzake de definitie voor ethyl alcohol</w:t>
      </w:r>
    </w:p>
    <w:p w14:paraId="60215635" w14:textId="77777777" w:rsidR="004110E9" w:rsidRDefault="004110E9" w:rsidP="00EB4821">
      <w:pPr>
        <w:spacing w:after="0" w:line="240" w:lineRule="auto"/>
      </w:pPr>
    </w:p>
    <w:bookmarkStart w:id="1" w:name="_MON_1699773732"/>
    <w:bookmarkEnd w:id="1"/>
    <w:p w14:paraId="486D8F43" w14:textId="6B07B425" w:rsidR="004110E9" w:rsidRDefault="004110E9" w:rsidP="00EB4821">
      <w:pPr>
        <w:spacing w:after="0" w:line="240" w:lineRule="auto"/>
      </w:pPr>
      <w:r>
        <w:object w:dxaOrig="1534" w:dyaOrig="993" w14:anchorId="2196D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99774063" r:id="rId11">
            <o:FieldCodes>\s</o:FieldCodes>
          </o:OLEObject>
        </w:object>
      </w:r>
    </w:p>
    <w:p w14:paraId="55855FF4" w14:textId="79F5092A" w:rsidR="00C06767" w:rsidRDefault="00D50207" w:rsidP="00EB4821">
      <w:pPr>
        <w:spacing w:after="0" w:line="240" w:lineRule="auto"/>
      </w:pPr>
      <w:r>
        <w:t>De industrie heeft aangegeven dat de huidige definitie voor ethylalcohol (artikel 5) niet actueel meer is en dient aangepast te worden.</w:t>
      </w:r>
    </w:p>
    <w:p w14:paraId="48F15058" w14:textId="5EFDF77B" w:rsidR="00D50207" w:rsidRDefault="00D50207" w:rsidP="00EB4821">
      <w:pPr>
        <w:spacing w:after="0" w:line="240" w:lineRule="auto"/>
      </w:pPr>
    </w:p>
    <w:p w14:paraId="500C1D13" w14:textId="3246F59C" w:rsidR="00D50207" w:rsidRDefault="00D50207" w:rsidP="00EB4821">
      <w:pPr>
        <w:spacing w:after="0" w:line="240" w:lineRule="auto"/>
      </w:pPr>
      <w:r>
        <w:t>Aanpassingen:</w:t>
      </w:r>
    </w:p>
    <w:p w14:paraId="60E70EC1" w14:textId="4D47365A" w:rsidR="00D50207" w:rsidRDefault="00D50207" w:rsidP="0080054A">
      <w:pPr>
        <w:pStyle w:val="Lijstalinea"/>
        <w:numPr>
          <w:ilvl w:val="0"/>
          <w:numId w:val="25"/>
        </w:numPr>
        <w:spacing w:after="0" w:line="240" w:lineRule="auto"/>
      </w:pPr>
      <w:r>
        <w:t>Total</w:t>
      </w:r>
      <w:r w:rsidR="00636CF3">
        <w:t xml:space="preserve">e zuurgraad, </w:t>
      </w:r>
      <w:r>
        <w:t>vluchtige stikstofbasen</w:t>
      </w:r>
      <w:r w:rsidR="00636CF3">
        <w:t xml:space="preserve"> en d</w:t>
      </w:r>
      <w:r>
        <w:t>roge stof</w:t>
      </w:r>
      <w:r w:rsidR="00636CF3">
        <w:t xml:space="preserve"> worden niet meer weerhouden, daar deze stoffen amper waarneembaar zijn in een drank met 96%VOL</w:t>
      </w:r>
    </w:p>
    <w:p w14:paraId="3FFCF79B" w14:textId="23E5A8F7" w:rsidR="00636CF3" w:rsidRDefault="00636CF3" w:rsidP="0080054A">
      <w:pPr>
        <w:pStyle w:val="Lijstalinea"/>
        <w:numPr>
          <w:ilvl w:val="0"/>
          <w:numId w:val="25"/>
        </w:numPr>
        <w:spacing w:after="0" w:line="240" w:lineRule="auto"/>
      </w:pPr>
      <w:r>
        <w:t>Ethers worden beperkt tot ethylacetaat (1.3h per hl)</w:t>
      </w:r>
    </w:p>
    <w:p w14:paraId="3C8FBE62" w14:textId="46213C20" w:rsidR="00636CF3" w:rsidRDefault="00636CF3" w:rsidP="0080054A">
      <w:pPr>
        <w:pStyle w:val="Lijstalinea"/>
        <w:numPr>
          <w:ilvl w:val="0"/>
          <w:numId w:val="25"/>
        </w:numPr>
        <w:spacing w:after="0" w:line="240" w:lineRule="auto"/>
      </w:pPr>
      <w:r>
        <w:t>Acetaat wordt beperkt tot a</w:t>
      </w:r>
      <w:r w:rsidRPr="00072975">
        <w:t>cetaldehyde</w:t>
      </w:r>
    </w:p>
    <w:p w14:paraId="040C6495" w14:textId="0989A7BB" w:rsidR="00636CF3" w:rsidRDefault="00242462" w:rsidP="0080054A">
      <w:pPr>
        <w:pStyle w:val="Lijstalinea"/>
        <w:numPr>
          <w:ilvl w:val="0"/>
          <w:numId w:val="25"/>
        </w:numPr>
        <w:spacing w:after="0" w:line="240" w:lineRule="auto"/>
      </w:pPr>
      <w:r>
        <w:t>“hogere alcoholen” wordt gewijzigd in overeenstemming met de referentiemethode van Verordening 2870/2000</w:t>
      </w:r>
    </w:p>
    <w:p w14:paraId="0230E193" w14:textId="60CC4FF0" w:rsidR="00242462" w:rsidRDefault="00242462" w:rsidP="00242462">
      <w:pPr>
        <w:pStyle w:val="Lijstalinea"/>
        <w:numPr>
          <w:ilvl w:val="0"/>
          <w:numId w:val="25"/>
        </w:numPr>
        <w:spacing w:after="0" w:line="240" w:lineRule="auto"/>
      </w:pPr>
      <w:r>
        <w:t>Voor furfural is een detectiemethode beschikbaar en wordt een limiet vastgelegd</w:t>
      </w:r>
    </w:p>
    <w:p w14:paraId="239DE1C8" w14:textId="7F178DC2" w:rsidR="00D50207" w:rsidRDefault="00D50207" w:rsidP="00D50207">
      <w:pPr>
        <w:spacing w:after="0" w:line="240" w:lineRule="auto"/>
      </w:pPr>
    </w:p>
    <w:p w14:paraId="137A8363" w14:textId="1202C6BC" w:rsidR="00F77683" w:rsidRDefault="00F77683" w:rsidP="00AB1106">
      <w:pPr>
        <w:spacing w:after="0" w:line="240" w:lineRule="auto"/>
      </w:pPr>
      <w:r>
        <w:t xml:space="preserve">PL: </w:t>
      </w:r>
      <w:r w:rsidR="00AB1106">
        <w:t xml:space="preserve">neutrale alcohol" wanneer wordt verwezen naar alcohol met een alcoholgehalte van 96% vol kan misleidend zijn voor de consument omdat dergelijke alcohol, vervaardigd uit verschillende grondstoffen, een verschillende smaak kan hebben. Dit is het geval bij de </w:t>
      </w:r>
      <w:r w:rsidR="004110E9">
        <w:t>productie</w:t>
      </w:r>
      <w:r w:rsidR="00AB1106">
        <w:t xml:space="preserve"> van wodka - daarom wordt onderscheid gemaakt tussen wodka die uit granen en aardappelen is vervaardigd en wodka die uit suikerbieten of andere grondstoffen is vervaardigd. Dergelijke alcohol is naar onze mening dus geen neutrale alcohol. De term "neutrale alcohol" zou moeten kunnen worden gebruikt in het geval van alcohol die is gerectificeerd tot een minimum van 98 vol.%. Niettemin kan Polen, om tot een compromis te komen, de voorgestelde bepalingen steunen.</w:t>
      </w:r>
      <w:r>
        <w:br/>
        <w:t xml:space="preserve">DE: Neutrale alcohol is heel gewoon (in de wereld). In de GMO was er destijds definitie die 96% aanduidde. </w:t>
      </w:r>
    </w:p>
    <w:p w14:paraId="5F38BC15" w14:textId="0AED1F9D" w:rsidR="00F77683" w:rsidRDefault="00F77683" w:rsidP="00F77683">
      <w:pPr>
        <w:spacing w:after="0" w:line="240" w:lineRule="auto"/>
      </w:pPr>
      <w:r>
        <w:t>SE: is r</w:t>
      </w:r>
      <w:r w:rsidR="00635523">
        <w:t>e</w:t>
      </w:r>
      <w:r>
        <w:t>ctification voldoende bepaald?</w:t>
      </w:r>
    </w:p>
    <w:p w14:paraId="45E2938A" w14:textId="065AF1E7" w:rsidR="00635523" w:rsidRDefault="00635523" w:rsidP="00F77683">
      <w:pPr>
        <w:spacing w:after="0" w:line="240" w:lineRule="auto"/>
      </w:pPr>
      <w:r>
        <w:t xml:space="preserve">COM: lidstaten hebben nog 2 weken om opmerkingen op te sturen. Indien hier geen grote opmerkingen uit voort komen, zal de goedkeuringsprocedure worden opgestart (2022). </w:t>
      </w:r>
    </w:p>
    <w:p w14:paraId="0AFCCC95" w14:textId="1F412DB9" w:rsidR="00635523" w:rsidRDefault="00635523" w:rsidP="00F77683">
      <w:pPr>
        <w:spacing w:after="0" w:line="240" w:lineRule="auto"/>
      </w:pPr>
    </w:p>
    <w:p w14:paraId="38E77940" w14:textId="77777777" w:rsidR="00C06767" w:rsidRDefault="00C06767" w:rsidP="00EB4821">
      <w:pPr>
        <w:spacing w:after="0" w:line="240" w:lineRule="auto"/>
      </w:pPr>
    </w:p>
    <w:p w14:paraId="2323595A" w14:textId="77777777" w:rsidR="00917E57" w:rsidRPr="001C0EE8" w:rsidRDefault="00917E57" w:rsidP="00EB4821">
      <w:pPr>
        <w:spacing w:after="0" w:line="240" w:lineRule="auto"/>
        <w:rPr>
          <w:b/>
          <w:sz w:val="36"/>
          <w:szCs w:val="36"/>
        </w:rPr>
      </w:pPr>
      <w:r w:rsidRPr="001C0EE8">
        <w:rPr>
          <w:sz w:val="36"/>
          <w:szCs w:val="36"/>
        </w:rPr>
        <w:lastRenderedPageBreak/>
        <w:t xml:space="preserve">VERSLAG </w:t>
      </w:r>
      <w:r>
        <w:rPr>
          <w:sz w:val="36"/>
          <w:szCs w:val="36"/>
        </w:rPr>
        <w:t>Beheerscomité gedistilleerde dranken</w:t>
      </w:r>
    </w:p>
    <w:p w14:paraId="1E27A804" w14:textId="77777777" w:rsidR="00917E57" w:rsidRDefault="00917E57" w:rsidP="00917E57">
      <w:pPr>
        <w:spacing w:after="0" w:line="240" w:lineRule="auto"/>
      </w:pPr>
    </w:p>
    <w:p w14:paraId="35E7EF94" w14:textId="4284BC9B" w:rsidR="005E545B" w:rsidRPr="008141DF" w:rsidRDefault="0072450F" w:rsidP="0072450F">
      <w:pPr>
        <w:pStyle w:val="Lijstalinea"/>
        <w:numPr>
          <w:ilvl w:val="0"/>
          <w:numId w:val="16"/>
        </w:numPr>
        <w:rPr>
          <w:rFonts w:ascii="Times New Roman" w:hAnsi="Times New Roman" w:cs="Times New Roman"/>
          <w:b/>
          <w:color w:val="000000"/>
          <w:sz w:val="23"/>
          <w:szCs w:val="23"/>
        </w:rPr>
      </w:pPr>
      <w:r w:rsidRPr="0072450F">
        <w:rPr>
          <w:rFonts w:ascii="Times New Roman" w:hAnsi="Times New Roman" w:cs="Times New Roman"/>
          <w:b/>
          <w:color w:val="000000"/>
          <w:sz w:val="23"/>
          <w:szCs w:val="23"/>
        </w:rPr>
        <w:t>Supervisie van veroudering van dranken</w:t>
      </w:r>
    </w:p>
    <w:p w14:paraId="5CC86489" w14:textId="4CDFE630" w:rsidR="0072450F" w:rsidRDefault="009D30A7" w:rsidP="0072450F">
      <w:r w:rsidRPr="009D30A7">
        <w:t xml:space="preserve">Deze verordening legt de details vast wat moet gebeuren voor notificatie, </w:t>
      </w:r>
      <w:r>
        <w:t>met als deadline</w:t>
      </w:r>
      <w:r w:rsidRPr="009D30A7">
        <w:t xml:space="preserve"> 25 augustus. Notificatie </w:t>
      </w:r>
      <w:r w:rsidR="005E545B">
        <w:t xml:space="preserve">moet gebeuren </w:t>
      </w:r>
      <w:r w:rsidRPr="009D30A7">
        <w:t>via ISAMM formulier 841 en 842</w:t>
      </w:r>
      <w:r>
        <w:t xml:space="preserve">. Daarna zal de COM </w:t>
      </w:r>
      <w:r w:rsidR="005E545B">
        <w:t>de</w:t>
      </w:r>
      <w:r>
        <w:t xml:space="preserve"> openbare lijst</w:t>
      </w:r>
      <w:r w:rsidR="005E545B">
        <w:t xml:space="preserve"> opmaken en</w:t>
      </w:r>
      <w:r>
        <w:t xml:space="preserve"> public</w:t>
      </w:r>
      <w:r w:rsidR="00BC39AC">
        <w:t>eren</w:t>
      </w:r>
      <w:r>
        <w:t>.</w:t>
      </w:r>
    </w:p>
    <w:p w14:paraId="4F655EC9" w14:textId="3251DD87" w:rsidR="00BC39AC" w:rsidRDefault="00BC39AC" w:rsidP="0072450F">
      <w:r>
        <w:t xml:space="preserve">De helft van de lidstaten voldoet nog niet (BE heeft dit in oktober in orde gebracht). COM zal toch al het register publiek maken. </w:t>
      </w:r>
    </w:p>
    <w:p w14:paraId="0F051817" w14:textId="4B6B6F56" w:rsidR="000E1201" w:rsidRPr="008141DF" w:rsidRDefault="008141DF" w:rsidP="008141DF">
      <w:pPr>
        <w:pStyle w:val="Lijstalinea"/>
        <w:numPr>
          <w:ilvl w:val="0"/>
          <w:numId w:val="16"/>
        </w:numPr>
        <w:spacing w:after="0" w:line="240" w:lineRule="auto"/>
        <w:rPr>
          <w:b/>
        </w:rPr>
      </w:pPr>
      <w:r w:rsidRPr="008141DF">
        <w:rPr>
          <w:b/>
        </w:rPr>
        <w:t>Analysemethode voor ethylalcohol</w:t>
      </w:r>
    </w:p>
    <w:p w14:paraId="739B0E0E" w14:textId="3A321B81" w:rsidR="008141DF" w:rsidRDefault="008141DF" w:rsidP="008141DF">
      <w:pPr>
        <w:spacing w:after="0" w:line="240" w:lineRule="auto"/>
      </w:pPr>
    </w:p>
    <w:bookmarkStart w:id="2" w:name="_MON_1699773794"/>
    <w:bookmarkEnd w:id="2"/>
    <w:p w14:paraId="29E812F5" w14:textId="3E2C158A" w:rsidR="004110E9" w:rsidRDefault="004110E9" w:rsidP="008141DF">
      <w:pPr>
        <w:spacing w:after="0" w:line="240" w:lineRule="auto"/>
      </w:pPr>
      <w:r>
        <w:object w:dxaOrig="1534" w:dyaOrig="993" w14:anchorId="3C43302A">
          <v:shape id="_x0000_i1026" type="#_x0000_t75" style="width:76.5pt;height:49.5pt" o:ole="">
            <v:imagedata r:id="rId12" o:title=""/>
          </v:shape>
          <o:OLEObject Type="Embed" ProgID="Word.Document.12" ShapeID="_x0000_i1026" DrawAspect="Icon" ObjectID="_1699774064" r:id="rId13">
            <o:FieldCodes>\s</o:FieldCodes>
          </o:OLEObject>
        </w:object>
      </w:r>
    </w:p>
    <w:p w14:paraId="2F55F4DD" w14:textId="27BD72C1" w:rsidR="008141DF" w:rsidRDefault="008141DF" w:rsidP="008141DF">
      <w:pPr>
        <w:spacing w:after="0" w:line="240" w:lineRule="auto"/>
      </w:pPr>
      <w:r>
        <w:t>Doordat de definitie van ethylalcohol is gewijzigd, dient ook de analysemethode opgelijst in Verordening 2870/2000 te worden gewijzigd.</w:t>
      </w:r>
    </w:p>
    <w:p w14:paraId="744B7AB4" w14:textId="55EF3F97" w:rsidR="008141DF" w:rsidRDefault="008141DF" w:rsidP="008141DF">
      <w:pPr>
        <w:spacing w:after="0" w:line="240" w:lineRule="auto"/>
      </w:pPr>
      <w:r>
        <w:t xml:space="preserve">Bovendien is </w:t>
      </w:r>
      <w:r w:rsidRPr="008141DF">
        <w:t>Verordening (EEG) nr. 2009/92 van de Commissie achterhaald door de intrekking van Verordening (EEG) nr. 1238/92 van de Commissie van 8 mei 1992</w:t>
      </w:r>
      <w:r>
        <w:t>. Deze verordening moet dan ook ingetrokken worden.</w:t>
      </w:r>
    </w:p>
    <w:p w14:paraId="02C16A7A" w14:textId="106D33F4" w:rsidR="008141DF" w:rsidRDefault="008141DF" w:rsidP="008141DF">
      <w:pPr>
        <w:spacing w:after="0" w:line="240" w:lineRule="auto"/>
      </w:pPr>
    </w:p>
    <w:p w14:paraId="486ECC8A" w14:textId="4767D44D" w:rsidR="008141DF" w:rsidRDefault="00C376E2" w:rsidP="008141DF">
      <w:pPr>
        <w:spacing w:after="0" w:line="240" w:lineRule="auto"/>
      </w:pPr>
      <w:r>
        <w:t>Volgend artikel wordt toegevoegd aan</w:t>
      </w:r>
      <w:r w:rsidR="008141DF">
        <w:t xml:space="preserve"> verordening 2870/2000:</w:t>
      </w:r>
    </w:p>
    <w:p w14:paraId="75BDA87D" w14:textId="77777777" w:rsidR="00C376E2" w:rsidRPr="004110E9" w:rsidRDefault="00C376E2" w:rsidP="00C376E2">
      <w:pPr>
        <w:pStyle w:val="NumPar1"/>
        <w:rPr>
          <w:rFonts w:asciiTheme="minorHAnsi" w:hAnsiTheme="minorHAnsi" w:cstheme="minorBidi"/>
          <w:sz w:val="22"/>
          <w:lang w:val="en-US"/>
        </w:rPr>
      </w:pPr>
      <w:r w:rsidRPr="004110E9">
        <w:rPr>
          <w:rFonts w:asciiTheme="minorHAnsi" w:hAnsiTheme="minorHAnsi" w:cstheme="minorBidi"/>
          <w:sz w:val="22"/>
          <w:lang w:val="en-US"/>
        </w:rPr>
        <w:t>The present Regulation applies to ethyl alcohol of agricultural origin as defined by Article 5 of Regulation (EU) 2019/787*.</w:t>
      </w:r>
    </w:p>
    <w:p w14:paraId="07F5CB69" w14:textId="77777777" w:rsidR="00C376E2" w:rsidRPr="004110E9" w:rsidRDefault="00C376E2" w:rsidP="00C376E2">
      <w:pPr>
        <w:pStyle w:val="NumPar1"/>
        <w:numPr>
          <w:ilvl w:val="0"/>
          <w:numId w:val="27"/>
        </w:numPr>
        <w:rPr>
          <w:rFonts w:asciiTheme="minorHAnsi" w:hAnsiTheme="minorHAnsi" w:cstheme="minorBidi"/>
          <w:sz w:val="22"/>
          <w:lang w:val="en-US"/>
        </w:rPr>
      </w:pPr>
      <w:r w:rsidRPr="004110E9">
        <w:rPr>
          <w:rFonts w:asciiTheme="minorHAnsi" w:hAnsiTheme="minorHAnsi" w:cstheme="minorBidi"/>
          <w:sz w:val="22"/>
          <w:lang w:val="en-US"/>
        </w:rPr>
        <w:t>The Union reference methods of analysis for ethyl alcohol of agricultural origin shall be those set out in the Annex to the present Regulation.</w:t>
      </w:r>
    </w:p>
    <w:p w14:paraId="7B892254" w14:textId="77777777" w:rsidR="00C376E2" w:rsidRPr="004110E9" w:rsidRDefault="00C376E2" w:rsidP="00C376E2">
      <w:pPr>
        <w:pStyle w:val="NumPar1"/>
        <w:numPr>
          <w:ilvl w:val="0"/>
          <w:numId w:val="27"/>
        </w:numPr>
        <w:rPr>
          <w:rFonts w:asciiTheme="minorHAnsi" w:hAnsiTheme="minorHAnsi" w:cstheme="minorBidi"/>
          <w:sz w:val="22"/>
          <w:lang w:val="en-US"/>
        </w:rPr>
      </w:pPr>
      <w:r w:rsidRPr="004110E9">
        <w:rPr>
          <w:rFonts w:asciiTheme="minorHAnsi" w:hAnsiTheme="minorHAnsi" w:cstheme="minorBidi"/>
          <w:sz w:val="22"/>
          <w:lang w:val="en-US"/>
        </w:rPr>
        <w:t>Where required, minor adaptations to the methods shall be made to accommodate the difference in alcohol strengths between ethyl alcohol of agricultural origin and the spirits drinks for which the methods are also intended.</w:t>
      </w:r>
    </w:p>
    <w:p w14:paraId="56F6F0A4" w14:textId="77777777" w:rsidR="00C376E2" w:rsidRPr="004110E9" w:rsidRDefault="00C376E2" w:rsidP="00C376E2">
      <w:pPr>
        <w:ind w:left="850"/>
        <w:rPr>
          <w:lang w:val="en-US"/>
        </w:rPr>
      </w:pPr>
      <w:r w:rsidRPr="004110E9">
        <w:rPr>
          <w:lang w:val="en-US"/>
        </w:rPr>
        <w:t>In such cases, pre-analysis dilutions of ethyl alcohol of agricultural origin samples shall be required to achieve appropriate matrix matching between samples and standards.</w:t>
      </w:r>
    </w:p>
    <w:p w14:paraId="5A7AB4CB" w14:textId="77777777" w:rsidR="00C376E2" w:rsidRPr="004110E9" w:rsidRDefault="00C376E2" w:rsidP="00C376E2">
      <w:pPr>
        <w:pStyle w:val="NumPar1"/>
        <w:numPr>
          <w:ilvl w:val="0"/>
          <w:numId w:val="27"/>
        </w:numPr>
        <w:rPr>
          <w:rFonts w:asciiTheme="minorHAnsi" w:hAnsiTheme="minorHAnsi" w:cstheme="minorBidi"/>
          <w:sz w:val="22"/>
          <w:lang w:val="en-US"/>
        </w:rPr>
      </w:pPr>
      <w:r w:rsidRPr="004110E9">
        <w:rPr>
          <w:rFonts w:asciiTheme="minorHAnsi" w:hAnsiTheme="minorHAnsi" w:cstheme="minorBidi"/>
          <w:sz w:val="22"/>
          <w:lang w:val="en-US"/>
        </w:rPr>
        <w:t>Results for the analysis of furfural, as detailed in Chapter X of the Annex to the present Regulation, are converted to grams per hectolitre of 100 % vol. alcohol, using the equation:</w:t>
      </w:r>
    </w:p>
    <w:p w14:paraId="3076BB32" w14:textId="77777777" w:rsidR="00C376E2" w:rsidRPr="004110E9" w:rsidRDefault="00C376E2" w:rsidP="00C376E2">
      <w:pPr>
        <w:ind w:left="850"/>
        <w:rPr>
          <w:lang w:val="en-US"/>
        </w:rPr>
      </w:pPr>
      <w:r w:rsidRPr="004110E9">
        <w:rPr>
          <w:lang w:val="en-US"/>
        </w:rPr>
        <w:t>Concentration of furfural in grams per hectolitre of 100 % vol. alcohol = Concentration of furfural in mg/l x 10/(alcohol strength (% vol))</w:t>
      </w:r>
    </w:p>
    <w:p w14:paraId="55F832C5" w14:textId="77777777" w:rsidR="00C376E2" w:rsidRPr="004110E9" w:rsidRDefault="00C376E2" w:rsidP="00C376E2">
      <w:pPr>
        <w:ind w:left="850"/>
        <w:rPr>
          <w:lang w:val="en-US"/>
        </w:rPr>
      </w:pPr>
      <w:r w:rsidRPr="004110E9">
        <w:rPr>
          <w:lang w:val="en-US"/>
        </w:rPr>
        <w:t>where alcohol strength (% vol) is the alcohol strength of the measured sample as determined in Chapter I of the Annex.”</w:t>
      </w:r>
    </w:p>
    <w:p w14:paraId="754867A9" w14:textId="4D03652C" w:rsidR="00C376E2" w:rsidRDefault="00C376E2" w:rsidP="008141DF">
      <w:pPr>
        <w:spacing w:after="0" w:line="240" w:lineRule="auto"/>
        <w:rPr>
          <w:lang w:val="en-US"/>
        </w:rPr>
      </w:pPr>
    </w:p>
    <w:p w14:paraId="164D302A" w14:textId="2558A449" w:rsidR="007F656A" w:rsidRPr="004110E9" w:rsidRDefault="007F656A" w:rsidP="008141DF">
      <w:pPr>
        <w:spacing w:after="0" w:line="240" w:lineRule="auto"/>
      </w:pPr>
      <w:r w:rsidRPr="004110E9">
        <w:t xml:space="preserve">DE: sugereert om de OIV hierin te consulteren om te komen tot 1 </w:t>
      </w:r>
      <w:r w:rsidR="004110E9" w:rsidRPr="004110E9">
        <w:t>analysemethode</w:t>
      </w:r>
      <w:r w:rsidRPr="004110E9">
        <w:t xml:space="preserve">. Dit zou juridisch beter zijn dan de alternatieve </w:t>
      </w:r>
      <w:r w:rsidR="004110E9" w:rsidRPr="004110E9">
        <w:t>methoden</w:t>
      </w:r>
      <w:r w:rsidRPr="004110E9">
        <w:t xml:space="preserve"> die we momenteel voorstellen.</w:t>
      </w:r>
      <w:r w:rsidRPr="004110E9">
        <w:br/>
        <w:t>COM:</w:t>
      </w:r>
      <w:r w:rsidR="004110E9">
        <w:t xml:space="preserve"> Is zeer technische materie waarbij de labo’s dienen geconsulteerd te worden.</w:t>
      </w:r>
      <w:r w:rsidRPr="004110E9">
        <w:t xml:space="preserve"> </w:t>
      </w:r>
      <w:r w:rsidR="004110E9">
        <w:t>G</w:t>
      </w:r>
      <w:r w:rsidRPr="004110E9">
        <w:t>raag opmerkingen overmaken de komende 2 weken. Op zich hebben we nog een tweetal maanden om hierover na te denken.</w:t>
      </w:r>
    </w:p>
    <w:p w14:paraId="0C594D03" w14:textId="77777777" w:rsidR="007F656A" w:rsidRPr="004110E9" w:rsidRDefault="007F656A" w:rsidP="008141DF">
      <w:pPr>
        <w:spacing w:after="0" w:line="240" w:lineRule="auto"/>
      </w:pPr>
    </w:p>
    <w:p w14:paraId="33E9F4B6" w14:textId="4002214B" w:rsidR="007F656A" w:rsidRDefault="0051634C" w:rsidP="007F656A">
      <w:pPr>
        <w:pStyle w:val="Lijstalinea"/>
        <w:numPr>
          <w:ilvl w:val="0"/>
          <w:numId w:val="16"/>
        </w:numPr>
        <w:spacing w:after="0" w:line="240" w:lineRule="auto"/>
        <w:rPr>
          <w:b/>
        </w:rPr>
      </w:pPr>
      <w:r>
        <w:rPr>
          <w:b/>
        </w:rPr>
        <w:t>Richtlijnen SDR</w:t>
      </w:r>
    </w:p>
    <w:p w14:paraId="72286516" w14:textId="6FDC2E33" w:rsidR="0051634C" w:rsidRDefault="0051634C" w:rsidP="0051634C">
      <w:pPr>
        <w:spacing w:after="0" w:line="240" w:lineRule="auto"/>
        <w:rPr>
          <w:b/>
        </w:rPr>
      </w:pPr>
    </w:p>
    <w:p w14:paraId="2A1CF310" w14:textId="1606B389" w:rsidR="0051634C" w:rsidRDefault="0051634C" w:rsidP="0051634C">
      <w:pPr>
        <w:spacing w:after="0" w:line="240" w:lineRule="auto"/>
      </w:pPr>
      <w:r w:rsidRPr="0051634C">
        <w:lastRenderedPageBreak/>
        <w:t xml:space="preserve">De vertalingen zijn net ontvangen door de COM. Vraag aan nationale </w:t>
      </w:r>
      <w:r w:rsidR="004110E9" w:rsidRPr="0051634C">
        <w:t>autoriteiten</w:t>
      </w:r>
      <w:r w:rsidRPr="0051634C">
        <w:t xml:space="preserve"> om de vertalingen na te kijken! </w:t>
      </w:r>
    </w:p>
    <w:p w14:paraId="6CE540A7" w14:textId="1FB11C88" w:rsidR="0051634C" w:rsidRDefault="0051634C" w:rsidP="0051634C">
      <w:pPr>
        <w:spacing w:after="0" w:line="240" w:lineRule="auto"/>
      </w:pPr>
      <w:r w:rsidRPr="0051634C">
        <w:t>Deadline: 15/12/2021</w:t>
      </w:r>
      <w:r>
        <w:br/>
        <w:t>1 communicatie per lidstaat!</w:t>
      </w:r>
    </w:p>
    <w:p w14:paraId="68A05051" w14:textId="6ADB3369" w:rsidR="00063010" w:rsidRPr="0051634C" w:rsidRDefault="00063010" w:rsidP="0051634C">
      <w:pPr>
        <w:spacing w:after="0" w:line="240" w:lineRule="auto"/>
      </w:pPr>
      <w:r>
        <w:t>Voorziene publicatie: eind januari, begin februari</w:t>
      </w:r>
    </w:p>
    <w:p w14:paraId="15F1CAB8" w14:textId="77777777" w:rsidR="008B230C" w:rsidRPr="004110E9" w:rsidRDefault="008B230C" w:rsidP="008141DF">
      <w:pPr>
        <w:spacing w:after="0" w:line="240" w:lineRule="auto"/>
      </w:pPr>
    </w:p>
    <w:p w14:paraId="6D728587" w14:textId="055348DA" w:rsidR="00DC4291" w:rsidRDefault="00DC4291" w:rsidP="00DC4291">
      <w:pPr>
        <w:pStyle w:val="Lijstalinea"/>
        <w:numPr>
          <w:ilvl w:val="0"/>
          <w:numId w:val="16"/>
        </w:numPr>
        <w:spacing w:after="0" w:line="240" w:lineRule="auto"/>
        <w:rPr>
          <w:b/>
        </w:rPr>
      </w:pPr>
      <w:r>
        <w:rPr>
          <w:b/>
        </w:rPr>
        <w:t>AOB</w:t>
      </w:r>
    </w:p>
    <w:p w14:paraId="671E8E03" w14:textId="77777777" w:rsidR="00186284" w:rsidRDefault="00186284" w:rsidP="00186284">
      <w:pPr>
        <w:pStyle w:val="Lijstalinea"/>
        <w:spacing w:after="0" w:line="240" w:lineRule="auto"/>
        <w:rPr>
          <w:b/>
        </w:rPr>
      </w:pPr>
    </w:p>
    <w:p w14:paraId="5BD9166C" w14:textId="107CAF37" w:rsidR="008141DF" w:rsidRPr="004110E9" w:rsidRDefault="00DC4291" w:rsidP="008141DF">
      <w:pPr>
        <w:spacing w:after="0" w:line="240" w:lineRule="auto"/>
      </w:pPr>
      <w:r w:rsidRPr="004110E9">
        <w:t>NL: mag NL wetgeving opmaken voor non-alcoholische dranken?</w:t>
      </w:r>
    </w:p>
    <w:p w14:paraId="38ED7C32" w14:textId="3066B322" w:rsidR="00DC4291" w:rsidRPr="00186284" w:rsidRDefault="00DC4291" w:rsidP="008141DF">
      <w:pPr>
        <w:spacing w:after="0" w:line="240" w:lineRule="auto"/>
      </w:pPr>
      <w:r w:rsidRPr="004110E9">
        <w:t xml:space="preserve">COM: </w:t>
      </w:r>
      <w:r w:rsidRPr="00186284">
        <w:t>dit is mogelijk rond bepaalde aspecten; de COM zal een studie opstarten hie</w:t>
      </w:r>
      <w:r w:rsidR="00186284" w:rsidRPr="00186284">
        <w:t>r</w:t>
      </w:r>
      <w:r w:rsidRPr="00186284">
        <w:t>rond; SpiritsEurope h</w:t>
      </w:r>
      <w:r w:rsidR="00186284">
        <w:t>e</w:t>
      </w:r>
      <w:r w:rsidRPr="00186284">
        <w:t xml:space="preserve">eft declarative gepubliceerd. Het zou interessant zijn om de productiemethodes hierrond te kennen. Dan </w:t>
      </w:r>
      <w:r w:rsidR="00186284">
        <w:t>nagaan</w:t>
      </w:r>
      <w:r w:rsidRPr="00186284">
        <w:t xml:space="preserve"> of we de SDR moeten aanpassen. LS mogen specifieke regels vastleggen (cfr bier). We zien dit niet zo graag omdat dan verschillen optreden tussen de LS. Wel notificeren aan de COM dat er regelgeving wordt opgemaakt.</w:t>
      </w:r>
    </w:p>
    <w:p w14:paraId="00A141DF" w14:textId="5C7AACC4" w:rsidR="00186284" w:rsidRPr="004110E9" w:rsidRDefault="00186284" w:rsidP="002A5B6F">
      <w:pPr>
        <w:spacing w:after="0" w:line="240" w:lineRule="auto"/>
      </w:pPr>
    </w:p>
    <w:p w14:paraId="6942BA96" w14:textId="28E8C827" w:rsidR="00186284" w:rsidRPr="004110E9" w:rsidRDefault="00186284" w:rsidP="002A5B6F">
      <w:pPr>
        <w:spacing w:after="0" w:line="240" w:lineRule="auto"/>
        <w:rPr>
          <w:b/>
          <w:lang w:val="en-US"/>
        </w:rPr>
      </w:pPr>
      <w:r w:rsidRPr="004110E9">
        <w:rPr>
          <w:b/>
          <w:lang w:val="en-US"/>
        </w:rPr>
        <w:t>Volgende vergadering 3 februari.</w:t>
      </w:r>
    </w:p>
    <w:sectPr w:rsidR="00186284" w:rsidRPr="00411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124F"/>
    <w:multiLevelType w:val="hybridMultilevel"/>
    <w:tmpl w:val="53EE31BE"/>
    <w:lvl w:ilvl="0" w:tplc="90C2FA34">
      <w:start w:val="1"/>
      <w:numFmt w:val="decimal"/>
      <w:lvlText w:val="%1."/>
      <w:lvlJc w:val="left"/>
      <w:pPr>
        <w:ind w:left="720" w:hanging="360"/>
      </w:pPr>
      <w:rPr>
        <w:rFonts w:asciiTheme="minorHAnsi" w:hAnsiTheme="minorHAnsi" w:cstheme="minorBidi" w:hint="default"/>
        <w:b/>
        <w:color w:val="auto"/>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805CB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8AA1EE8"/>
    <w:multiLevelType w:val="hybridMultilevel"/>
    <w:tmpl w:val="79EA8D7C"/>
    <w:lvl w:ilvl="0" w:tplc="B3C635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A2D230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F683DC0"/>
    <w:multiLevelType w:val="hybridMultilevel"/>
    <w:tmpl w:val="E95634EC"/>
    <w:lvl w:ilvl="0" w:tplc="BEA679E0">
      <w:start w:val="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4D5560C"/>
    <w:multiLevelType w:val="hybridMultilevel"/>
    <w:tmpl w:val="53FC4A0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030E12"/>
    <w:multiLevelType w:val="hybridMultilevel"/>
    <w:tmpl w:val="D4185E3E"/>
    <w:lvl w:ilvl="0" w:tplc="B90CA4EE">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D6F61F9"/>
    <w:multiLevelType w:val="hybridMultilevel"/>
    <w:tmpl w:val="F9DCFEC2"/>
    <w:lvl w:ilvl="0" w:tplc="32845876">
      <w:start w:val="3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208B1968"/>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E453C6"/>
    <w:multiLevelType w:val="hybridMultilevel"/>
    <w:tmpl w:val="7AA0E8F2"/>
    <w:lvl w:ilvl="0" w:tplc="71146D7A">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747104E"/>
    <w:multiLevelType w:val="hybridMultilevel"/>
    <w:tmpl w:val="253AA05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2E6F0CA4"/>
    <w:multiLevelType w:val="hybridMultilevel"/>
    <w:tmpl w:val="03565378"/>
    <w:lvl w:ilvl="0" w:tplc="55B69F2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30F72349"/>
    <w:multiLevelType w:val="hybridMultilevel"/>
    <w:tmpl w:val="D734A5B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22F6310"/>
    <w:multiLevelType w:val="hybridMultilevel"/>
    <w:tmpl w:val="AF7A8B82"/>
    <w:lvl w:ilvl="0" w:tplc="0C209BA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5735F6"/>
    <w:multiLevelType w:val="hybridMultilevel"/>
    <w:tmpl w:val="F7C03B86"/>
    <w:lvl w:ilvl="0" w:tplc="AE08F6EA">
      <w:start w:val="4"/>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DB09DA"/>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8C76A60"/>
    <w:multiLevelType w:val="hybridMultilevel"/>
    <w:tmpl w:val="BA62BF1C"/>
    <w:lvl w:ilvl="0" w:tplc="142C590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0E4ECA"/>
    <w:multiLevelType w:val="hybridMultilevel"/>
    <w:tmpl w:val="B1E08E94"/>
    <w:lvl w:ilvl="0" w:tplc="0813000F">
      <w:start w:val="1"/>
      <w:numFmt w:val="decimal"/>
      <w:lvlText w:val="%1."/>
      <w:lvlJc w:val="left"/>
      <w:pPr>
        <w:ind w:left="720" w:hanging="360"/>
      </w:pPr>
      <w:rPr>
        <w:rFonts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F6958C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B7A4266"/>
    <w:multiLevelType w:val="hybridMultilevel"/>
    <w:tmpl w:val="8A3451C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4F8B4BB7"/>
    <w:multiLevelType w:val="hybridMultilevel"/>
    <w:tmpl w:val="8F04171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4FEA7B79"/>
    <w:multiLevelType w:val="hybridMultilevel"/>
    <w:tmpl w:val="1E24C6A0"/>
    <w:lvl w:ilvl="0" w:tplc="24262BC8">
      <w:start w:val="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EF530FD"/>
    <w:multiLevelType w:val="hybridMultilevel"/>
    <w:tmpl w:val="CFCC8378"/>
    <w:lvl w:ilvl="0" w:tplc="7B34ECB0">
      <w:start w:val="2"/>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4" w15:restartNumberingAfterBreak="0">
    <w:nsid w:val="6934395D"/>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A8E0F60"/>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7CDF4611"/>
    <w:multiLevelType w:val="hybridMultilevel"/>
    <w:tmpl w:val="4A5C167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5"/>
  </w:num>
  <w:num w:numId="2">
    <w:abstractNumId w:val="10"/>
  </w:num>
  <w:num w:numId="3">
    <w:abstractNumId w:val="3"/>
  </w:num>
  <w:num w:numId="4">
    <w:abstractNumId w:val="16"/>
  </w:num>
  <w:num w:numId="5">
    <w:abstractNumId w:val="7"/>
  </w:num>
  <w:num w:numId="6">
    <w:abstractNumId w:val="26"/>
  </w:num>
  <w:num w:numId="7">
    <w:abstractNumId w:val="1"/>
  </w:num>
  <w:num w:numId="8">
    <w:abstractNumId w:val="22"/>
  </w:num>
  <w:num w:numId="9">
    <w:abstractNumId w:val="13"/>
  </w:num>
  <w:num w:numId="10">
    <w:abstractNumId w:val="5"/>
  </w:num>
  <w:num w:numId="11">
    <w:abstractNumId w:val="24"/>
  </w:num>
  <w:num w:numId="12">
    <w:abstractNumId w:val="23"/>
  </w:num>
  <w:num w:numId="13">
    <w:abstractNumId w:val="4"/>
  </w:num>
  <w:num w:numId="14">
    <w:abstractNumId w:val="12"/>
  </w:num>
  <w:num w:numId="15">
    <w:abstractNumId w:val="18"/>
  </w:num>
  <w:num w:numId="16">
    <w:abstractNumId w:val="20"/>
  </w:num>
  <w:num w:numId="17">
    <w:abstractNumId w:val="17"/>
  </w:num>
  <w:num w:numId="18">
    <w:abstractNumId w:val="21"/>
  </w:num>
  <w:num w:numId="19">
    <w:abstractNumId w:val="2"/>
  </w:num>
  <w:num w:numId="20">
    <w:abstractNumId w:val="15"/>
  </w:num>
  <w:num w:numId="21">
    <w:abstractNumId w:val="0"/>
  </w:num>
  <w:num w:numId="22">
    <w:abstractNumId w:val="11"/>
  </w:num>
  <w:num w:numId="23">
    <w:abstractNumId w:val="6"/>
  </w:num>
  <w:num w:numId="24">
    <w:abstractNumId w:val="8"/>
  </w:num>
  <w:num w:numId="25">
    <w:abstractNumId w:val="1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392"/>
    <w:rsid w:val="00015E94"/>
    <w:rsid w:val="00016D27"/>
    <w:rsid w:val="00026133"/>
    <w:rsid w:val="000318D2"/>
    <w:rsid w:val="00034603"/>
    <w:rsid w:val="000547D4"/>
    <w:rsid w:val="00061B0C"/>
    <w:rsid w:val="00063010"/>
    <w:rsid w:val="00084179"/>
    <w:rsid w:val="0009125C"/>
    <w:rsid w:val="000A734B"/>
    <w:rsid w:val="000C5A4E"/>
    <w:rsid w:val="000C5D49"/>
    <w:rsid w:val="000E1201"/>
    <w:rsid w:val="000E3CF7"/>
    <w:rsid w:val="001041E5"/>
    <w:rsid w:val="001179A7"/>
    <w:rsid w:val="001454A2"/>
    <w:rsid w:val="001527DC"/>
    <w:rsid w:val="00177B38"/>
    <w:rsid w:val="00186284"/>
    <w:rsid w:val="001A626C"/>
    <w:rsid w:val="001B5F64"/>
    <w:rsid w:val="001E10DE"/>
    <w:rsid w:val="0022170A"/>
    <w:rsid w:val="00222E00"/>
    <w:rsid w:val="00231E5F"/>
    <w:rsid w:val="00242462"/>
    <w:rsid w:val="00253631"/>
    <w:rsid w:val="002819FC"/>
    <w:rsid w:val="00281DF0"/>
    <w:rsid w:val="00295DF1"/>
    <w:rsid w:val="002A5B6F"/>
    <w:rsid w:val="002C6143"/>
    <w:rsid w:val="002D6730"/>
    <w:rsid w:val="00314F17"/>
    <w:rsid w:val="00315482"/>
    <w:rsid w:val="00316C69"/>
    <w:rsid w:val="00325102"/>
    <w:rsid w:val="003461F3"/>
    <w:rsid w:val="003527CF"/>
    <w:rsid w:val="0036755A"/>
    <w:rsid w:val="00395392"/>
    <w:rsid w:val="003D3434"/>
    <w:rsid w:val="003E3475"/>
    <w:rsid w:val="004110E9"/>
    <w:rsid w:val="00442D67"/>
    <w:rsid w:val="00452A21"/>
    <w:rsid w:val="0046583E"/>
    <w:rsid w:val="004A0080"/>
    <w:rsid w:val="004A478F"/>
    <w:rsid w:val="004A57C8"/>
    <w:rsid w:val="004D6960"/>
    <w:rsid w:val="004F75BF"/>
    <w:rsid w:val="0051027C"/>
    <w:rsid w:val="0051158F"/>
    <w:rsid w:val="0051199B"/>
    <w:rsid w:val="0051634C"/>
    <w:rsid w:val="005343DB"/>
    <w:rsid w:val="005366EB"/>
    <w:rsid w:val="00537FA6"/>
    <w:rsid w:val="00542C8A"/>
    <w:rsid w:val="0055206B"/>
    <w:rsid w:val="00567CDD"/>
    <w:rsid w:val="00570DFE"/>
    <w:rsid w:val="005752E3"/>
    <w:rsid w:val="005A024B"/>
    <w:rsid w:val="005A027D"/>
    <w:rsid w:val="005C189E"/>
    <w:rsid w:val="005C3D37"/>
    <w:rsid w:val="005D3231"/>
    <w:rsid w:val="005E545B"/>
    <w:rsid w:val="005F6456"/>
    <w:rsid w:val="0061098A"/>
    <w:rsid w:val="006174EF"/>
    <w:rsid w:val="00622839"/>
    <w:rsid w:val="0063485F"/>
    <w:rsid w:val="00635523"/>
    <w:rsid w:val="00636CF3"/>
    <w:rsid w:val="00657B57"/>
    <w:rsid w:val="006B7EAD"/>
    <w:rsid w:val="0072450F"/>
    <w:rsid w:val="007406D0"/>
    <w:rsid w:val="00740E7B"/>
    <w:rsid w:val="0077334C"/>
    <w:rsid w:val="00773EDB"/>
    <w:rsid w:val="007847E4"/>
    <w:rsid w:val="007C12D8"/>
    <w:rsid w:val="007E18BB"/>
    <w:rsid w:val="007E4D44"/>
    <w:rsid w:val="007E5E37"/>
    <w:rsid w:val="007E7818"/>
    <w:rsid w:val="007F656A"/>
    <w:rsid w:val="008141DF"/>
    <w:rsid w:val="0081746C"/>
    <w:rsid w:val="00846828"/>
    <w:rsid w:val="008A1B5F"/>
    <w:rsid w:val="008B230C"/>
    <w:rsid w:val="008C0E62"/>
    <w:rsid w:val="008F35F6"/>
    <w:rsid w:val="008F3734"/>
    <w:rsid w:val="008F5DD7"/>
    <w:rsid w:val="00900AAA"/>
    <w:rsid w:val="00917E57"/>
    <w:rsid w:val="00921FE4"/>
    <w:rsid w:val="00934C8D"/>
    <w:rsid w:val="00945AA8"/>
    <w:rsid w:val="0096211C"/>
    <w:rsid w:val="00981C73"/>
    <w:rsid w:val="009A3F9C"/>
    <w:rsid w:val="009B0B28"/>
    <w:rsid w:val="009B775D"/>
    <w:rsid w:val="009D30A7"/>
    <w:rsid w:val="009E50F0"/>
    <w:rsid w:val="009F6B04"/>
    <w:rsid w:val="00A31714"/>
    <w:rsid w:val="00A45C83"/>
    <w:rsid w:val="00A5110F"/>
    <w:rsid w:val="00A671F2"/>
    <w:rsid w:val="00A76639"/>
    <w:rsid w:val="00A8616F"/>
    <w:rsid w:val="00A8711C"/>
    <w:rsid w:val="00AB1106"/>
    <w:rsid w:val="00AB2DF6"/>
    <w:rsid w:val="00AB326C"/>
    <w:rsid w:val="00AB7916"/>
    <w:rsid w:val="00AC7025"/>
    <w:rsid w:val="00AD65AF"/>
    <w:rsid w:val="00AF2DB2"/>
    <w:rsid w:val="00B1776E"/>
    <w:rsid w:val="00B303CC"/>
    <w:rsid w:val="00B64F28"/>
    <w:rsid w:val="00BA6CA9"/>
    <w:rsid w:val="00BC39AC"/>
    <w:rsid w:val="00BC6043"/>
    <w:rsid w:val="00C0398C"/>
    <w:rsid w:val="00C06767"/>
    <w:rsid w:val="00C14049"/>
    <w:rsid w:val="00C2580C"/>
    <w:rsid w:val="00C376E2"/>
    <w:rsid w:val="00C40780"/>
    <w:rsid w:val="00C45689"/>
    <w:rsid w:val="00C609FD"/>
    <w:rsid w:val="00C7004A"/>
    <w:rsid w:val="00C74041"/>
    <w:rsid w:val="00C873FF"/>
    <w:rsid w:val="00C903A2"/>
    <w:rsid w:val="00CC63C2"/>
    <w:rsid w:val="00CF7CDA"/>
    <w:rsid w:val="00D22CBF"/>
    <w:rsid w:val="00D27967"/>
    <w:rsid w:val="00D50207"/>
    <w:rsid w:val="00D53FD9"/>
    <w:rsid w:val="00D60AF7"/>
    <w:rsid w:val="00D645E9"/>
    <w:rsid w:val="00D66602"/>
    <w:rsid w:val="00D70190"/>
    <w:rsid w:val="00D74E86"/>
    <w:rsid w:val="00DA71C6"/>
    <w:rsid w:val="00DB4C9E"/>
    <w:rsid w:val="00DB6474"/>
    <w:rsid w:val="00DC09F8"/>
    <w:rsid w:val="00DC4291"/>
    <w:rsid w:val="00DD1993"/>
    <w:rsid w:val="00DF09E8"/>
    <w:rsid w:val="00DF3303"/>
    <w:rsid w:val="00E12A2D"/>
    <w:rsid w:val="00E37D8C"/>
    <w:rsid w:val="00E4535B"/>
    <w:rsid w:val="00E527CF"/>
    <w:rsid w:val="00E56BAB"/>
    <w:rsid w:val="00E63AD4"/>
    <w:rsid w:val="00E701C0"/>
    <w:rsid w:val="00E81C40"/>
    <w:rsid w:val="00E92F1F"/>
    <w:rsid w:val="00E95AE2"/>
    <w:rsid w:val="00EA2BFB"/>
    <w:rsid w:val="00EB4821"/>
    <w:rsid w:val="00EC4850"/>
    <w:rsid w:val="00ED5FAB"/>
    <w:rsid w:val="00EE242B"/>
    <w:rsid w:val="00F348C4"/>
    <w:rsid w:val="00F52477"/>
    <w:rsid w:val="00F5616A"/>
    <w:rsid w:val="00F74C91"/>
    <w:rsid w:val="00F77683"/>
    <w:rsid w:val="00F9222B"/>
    <w:rsid w:val="00FE14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DC80F6A"/>
  <w15:chartTrackingRefBased/>
  <w15:docId w15:val="{6B5B7EE0-1EB4-4784-9F90-79F23EFD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45C83"/>
    <w:pPr>
      <w:ind w:left="720"/>
      <w:contextualSpacing/>
    </w:pPr>
  </w:style>
  <w:style w:type="table" w:styleId="Tabelraster">
    <w:name w:val="Table Grid"/>
    <w:basedOn w:val="Standaardtabel"/>
    <w:uiPriority w:val="59"/>
    <w:rsid w:val="009B7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D1993"/>
    <w:rPr>
      <w:color w:val="0563C1" w:themeColor="hyperlink"/>
      <w:u w:val="single"/>
    </w:rPr>
  </w:style>
  <w:style w:type="character" w:styleId="GevolgdeHyperlink">
    <w:name w:val="FollowedHyperlink"/>
    <w:basedOn w:val="Standaardalinea-lettertype"/>
    <w:uiPriority w:val="99"/>
    <w:semiHidden/>
    <w:unhideWhenUsed/>
    <w:rsid w:val="001527DC"/>
    <w:rPr>
      <w:color w:val="954F72" w:themeColor="followedHyperlink"/>
      <w:u w:val="single"/>
    </w:rPr>
  </w:style>
  <w:style w:type="paragraph" w:customStyle="1" w:styleId="Default">
    <w:name w:val="Default"/>
    <w:rsid w:val="000547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0547D4"/>
    <w:rPr>
      <w:color w:val="auto"/>
    </w:rPr>
  </w:style>
  <w:style w:type="paragraph" w:customStyle="1" w:styleId="CM3">
    <w:name w:val="CM3"/>
    <w:basedOn w:val="Default"/>
    <w:next w:val="Default"/>
    <w:uiPriority w:val="99"/>
    <w:rsid w:val="000547D4"/>
    <w:rPr>
      <w:color w:val="auto"/>
    </w:rPr>
  </w:style>
  <w:style w:type="character" w:customStyle="1" w:styleId="DeltaViewInsertion">
    <w:name w:val="DeltaView Insertion"/>
    <w:uiPriority w:val="99"/>
    <w:rsid w:val="00C376E2"/>
    <w:rPr>
      <w:b/>
      <w:bCs w:val="0"/>
      <w:i/>
      <w:iCs w:val="0"/>
      <w:color w:val="000000"/>
    </w:rPr>
  </w:style>
  <w:style w:type="paragraph" w:customStyle="1" w:styleId="NumPar1">
    <w:name w:val="NumPar 1"/>
    <w:basedOn w:val="Standaard"/>
    <w:next w:val="Standaard"/>
    <w:rsid w:val="00C376E2"/>
    <w:pPr>
      <w:numPr>
        <w:numId w:val="26"/>
      </w:numPr>
      <w:spacing w:before="120" w:after="120" w:line="240" w:lineRule="auto"/>
      <w:jc w:val="both"/>
    </w:pPr>
    <w:rPr>
      <w:rFonts w:ascii="Times New Roman" w:hAnsi="Times New Roman" w:cs="Times New Roman"/>
      <w:sz w:val="24"/>
      <w:lang w:val="en-GB"/>
    </w:rPr>
  </w:style>
  <w:style w:type="paragraph" w:customStyle="1" w:styleId="NumPar2">
    <w:name w:val="NumPar 2"/>
    <w:basedOn w:val="Standaard"/>
    <w:next w:val="Standaard"/>
    <w:rsid w:val="00C376E2"/>
    <w:pPr>
      <w:numPr>
        <w:ilvl w:val="1"/>
        <w:numId w:val="26"/>
      </w:numPr>
      <w:spacing w:before="120" w:after="120" w:line="240" w:lineRule="auto"/>
      <w:jc w:val="both"/>
    </w:pPr>
    <w:rPr>
      <w:rFonts w:ascii="Times New Roman" w:hAnsi="Times New Roman" w:cs="Times New Roman"/>
      <w:sz w:val="24"/>
      <w:lang w:val="en-GB"/>
    </w:rPr>
  </w:style>
  <w:style w:type="paragraph" w:customStyle="1" w:styleId="NumPar3">
    <w:name w:val="NumPar 3"/>
    <w:basedOn w:val="Standaard"/>
    <w:next w:val="Standaard"/>
    <w:rsid w:val="00C376E2"/>
    <w:pPr>
      <w:numPr>
        <w:ilvl w:val="2"/>
        <w:numId w:val="26"/>
      </w:numPr>
      <w:spacing w:before="120" w:after="120" w:line="240" w:lineRule="auto"/>
      <w:jc w:val="both"/>
    </w:pPr>
    <w:rPr>
      <w:rFonts w:ascii="Times New Roman" w:hAnsi="Times New Roman" w:cs="Times New Roman"/>
      <w:sz w:val="24"/>
      <w:lang w:val="en-GB"/>
    </w:rPr>
  </w:style>
  <w:style w:type="paragraph" w:customStyle="1" w:styleId="NumPar4">
    <w:name w:val="NumPar 4"/>
    <w:basedOn w:val="Standaard"/>
    <w:next w:val="Standaard"/>
    <w:rsid w:val="00C376E2"/>
    <w:pPr>
      <w:numPr>
        <w:ilvl w:val="3"/>
        <w:numId w:val="26"/>
      </w:numPr>
      <w:spacing w:before="120" w:after="120" w:line="240" w:lineRule="auto"/>
      <w:jc w:val="both"/>
    </w:pPr>
    <w:rPr>
      <w:rFonts w:ascii="Times New Roman" w:hAnsi="Times New Roman" w:cs="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56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1.doc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package" Target="embeddings/Microsoft_Word_Document.docx"/><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E1E8F27D0B2478349AE36E90D1FB2" ma:contentTypeVersion="2" ma:contentTypeDescription="Een nieuw document maken." ma:contentTypeScope="" ma:versionID="f131c32be96276ad0ad543fb1e46cfab">
  <xsd:schema xmlns:xsd="http://www.w3.org/2001/XMLSchema" xmlns:xs="http://www.w3.org/2001/XMLSchema" xmlns:p="http://schemas.microsoft.com/office/2006/metadata/properties" xmlns:ns2="4289bab3-3504-4f8e-afb3-82b5123a0f0f" xmlns:ns3="d7b9286f-7e9a-4e9f-a246-7542273c6f0d" targetNamespace="http://schemas.microsoft.com/office/2006/metadata/properties" ma:root="true" ma:fieldsID="a74ad243ed62ed81aab0b20d448478c5" ns2:_="" ns3:_="">
    <xsd:import namespace="4289bab3-3504-4f8e-afb3-82b5123a0f0f"/>
    <xsd:import namespace="d7b9286f-7e9a-4e9f-a246-7542273c6f0d"/>
    <xsd:element name="properties">
      <xsd:complexType>
        <xsd:sequence>
          <xsd:element name="documentManagement">
            <xsd:complexType>
              <xsd:all>
                <xsd:element ref="ns2:_dlc_DocId" minOccurs="0"/>
                <xsd:element ref="ns2:_dlc_DocIdUrl" minOccurs="0"/>
                <xsd:element ref="ns2:_dlc_DocIdPersistId" minOccurs="0"/>
                <xsd:element ref="ns3:Jaartal" minOccurs="0"/>
                <xsd:element ref="ns3: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9bab3-3504-4f8e-afb3-82b5123a0f0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b9286f-7e9a-4e9f-a246-7542273c6f0d" elementFormDefault="qualified">
    <xsd:import namespace="http://schemas.microsoft.com/office/2006/documentManagement/types"/>
    <xsd:import namespace="http://schemas.microsoft.com/office/infopath/2007/PartnerControls"/>
    <xsd:element name="Jaartal" ma:index="11" nillable="true" ma:displayName="Jaartal" ma:internalName="Jaartal">
      <xsd:simpleType>
        <xsd:restriction base="dms:Choice">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Datum" ma:index="12" nillable="true" ma:displayName="Datum" ma:format="DateTime" ma:internalName="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289bab3-3504-4f8e-afb3-82b5123a0f0f">U2XPN2SK7TD2-412335944-4</_dlc_DocId>
    <_dlc_DocIdUrl xmlns="4289bab3-3504-4f8e-afb3-82b5123a0f0f">
      <Url>https://lvportaal/centrale/alcohol/_layouts/15/DocIdRedir.aspx?ID=U2XPN2SK7TD2-412335944-4</Url>
      <Description>U2XPN2SK7TD2-412335944-4</Description>
    </_dlc_DocIdUrl>
    <Datum xmlns="d7b9286f-7e9a-4e9f-a246-7542273c6f0d">2021-11-29T23:00:00+00:00</Datum>
    <Jaartal xmlns="d7b9286f-7e9a-4e9f-a246-7542273c6f0d">2021</Jaartal>
  </documentManagement>
</p:properties>
</file>

<file path=customXml/itemProps1.xml><?xml version="1.0" encoding="utf-8"?>
<ds:datastoreItem xmlns:ds="http://schemas.openxmlformats.org/officeDocument/2006/customXml" ds:itemID="{4C1C9263-B65D-4520-BCB8-9F010610D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9bab3-3504-4f8e-afb3-82b5123a0f0f"/>
    <ds:schemaRef ds:uri="d7b9286f-7e9a-4e9f-a246-7542273c6f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15A0F-78D9-426E-8972-01EAB7224570}">
  <ds:schemaRefs>
    <ds:schemaRef ds:uri="http://schemas.microsoft.com/sharepoint/events"/>
  </ds:schemaRefs>
</ds:datastoreItem>
</file>

<file path=customXml/itemProps3.xml><?xml version="1.0" encoding="utf-8"?>
<ds:datastoreItem xmlns:ds="http://schemas.openxmlformats.org/officeDocument/2006/customXml" ds:itemID="{67C3469E-2F68-41E5-930A-EE54AEB4101B}">
  <ds:schemaRefs>
    <ds:schemaRef ds:uri="http://schemas.microsoft.com/sharepoint/v3/contenttype/forms"/>
  </ds:schemaRefs>
</ds:datastoreItem>
</file>

<file path=customXml/itemProps4.xml><?xml version="1.0" encoding="utf-8"?>
<ds:datastoreItem xmlns:ds="http://schemas.openxmlformats.org/officeDocument/2006/customXml" ds:itemID="{B4CEF7B0-F4AF-4B7E-8BA9-099F5BAB82D8}">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289bab3-3504-4f8e-afb3-82b5123a0f0f"/>
    <ds:schemaRef ds:uri="d7b9286f-7e9a-4e9f-a246-7542273c6f0d"/>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4405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Agentschap voor Landbouw en Visserij (ALV)</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Delveaux</dc:creator>
  <cp:keywords/>
  <dc:description/>
  <cp:lastModifiedBy>Timo Delveaux</cp:lastModifiedBy>
  <cp:revision>2</cp:revision>
  <dcterms:created xsi:type="dcterms:W3CDTF">2021-11-30T09:41:00Z</dcterms:created>
  <dcterms:modified xsi:type="dcterms:W3CDTF">2021-11-30T09:41:00Z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0x010100482E1E8F27D0B2478349AE36E90D1FB2</vt:lpwstr>
  </property>
  <property fmtid="{D5CDD505-2E9C-101B-9397-08002B2CF9AE}" pid="3" name="_dlc_DocIdItemGuid">
    <vt:lpwstr>b8d3acd6-4f80-4473-85e8-dc788eb2ce98</vt:lpwstr>
  </property>
</Properties>
</file>